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8E0" w:rsidRPr="00D42F99" w:rsidRDefault="002708E0" w:rsidP="002708E0">
      <w:pPr>
        <w:pStyle w:val="Nadpis1"/>
        <w:numPr>
          <w:ilvl w:val="0"/>
          <w:numId w:val="0"/>
        </w:numPr>
        <w:ind w:left="432" w:hanging="432"/>
        <w:jc w:val="both"/>
      </w:pPr>
      <w:r w:rsidRPr="00D42F99">
        <w:t>Dobré vládnutí (pro udržitelný rozvoj)</w:t>
      </w:r>
      <w:r>
        <w:t xml:space="preserve"> (6)</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1. S ohledem k analýze (</w:t>
      </w:r>
      <w:r w:rsidRPr="00D42F99">
        <w:rPr>
          <w:rFonts w:ascii="Arial" w:hAnsi="Arial" w:cs="Arial"/>
          <w:sz w:val="22"/>
          <w:szCs w:val="22"/>
          <w:highlight w:val="green"/>
        </w:rPr>
        <w:t>ODKAZ ANALÝZA ROZVOJE)</w:t>
      </w:r>
      <w:r w:rsidRPr="00D42F99">
        <w:rPr>
          <w:rFonts w:ascii="Arial" w:hAnsi="Arial" w:cs="Arial"/>
          <w:sz w:val="22"/>
          <w:szCs w:val="22"/>
        </w:rPr>
        <w:t xml:space="preserve"> připisujeme vládnutí v udržitelném rozvoji tři funkce: </w:t>
      </w:r>
    </w:p>
    <w:p w:rsidR="002708E0" w:rsidRPr="00D42F99" w:rsidRDefault="002708E0" w:rsidP="002708E0">
      <w:pPr>
        <w:numPr>
          <w:ilvl w:val="0"/>
          <w:numId w:val="21"/>
        </w:numPr>
        <w:jc w:val="both"/>
        <w:rPr>
          <w:rFonts w:ascii="Arial" w:hAnsi="Arial" w:cs="Arial"/>
          <w:sz w:val="22"/>
          <w:szCs w:val="22"/>
        </w:rPr>
      </w:pPr>
      <w:r w:rsidRPr="00D42F99">
        <w:rPr>
          <w:rFonts w:ascii="Arial" w:hAnsi="Arial" w:cs="Arial"/>
          <w:sz w:val="22"/>
          <w:szCs w:val="22"/>
        </w:rPr>
        <w:t xml:space="preserve">hodnotové předpoklady a základní principy, jimiž se naplňování našich cílů řídí; </w:t>
      </w:r>
    </w:p>
    <w:p w:rsidR="002708E0" w:rsidRPr="00D42F99" w:rsidRDefault="002708E0" w:rsidP="002708E0">
      <w:pPr>
        <w:numPr>
          <w:ilvl w:val="0"/>
          <w:numId w:val="21"/>
        </w:numPr>
        <w:jc w:val="both"/>
        <w:rPr>
          <w:rFonts w:ascii="Arial" w:hAnsi="Arial" w:cs="Arial"/>
          <w:sz w:val="22"/>
          <w:szCs w:val="22"/>
        </w:rPr>
      </w:pPr>
      <w:r w:rsidRPr="00D42F99">
        <w:rPr>
          <w:rFonts w:ascii="Arial" w:hAnsi="Arial" w:cs="Arial"/>
          <w:sz w:val="22"/>
          <w:szCs w:val="22"/>
        </w:rPr>
        <w:t xml:space="preserve">praktické nástroje implementace cílů (jednak ve smyslu institucionální kapacity, jednak ve smyslu konkrétních nástrojů či opatření); </w:t>
      </w:r>
    </w:p>
    <w:p w:rsidR="002708E0" w:rsidRPr="00D42F99" w:rsidRDefault="002708E0" w:rsidP="002708E0">
      <w:pPr>
        <w:numPr>
          <w:ilvl w:val="0"/>
          <w:numId w:val="21"/>
        </w:numPr>
        <w:jc w:val="both"/>
        <w:rPr>
          <w:rFonts w:ascii="Arial" w:hAnsi="Arial" w:cs="Arial"/>
          <w:sz w:val="22"/>
          <w:szCs w:val="22"/>
        </w:rPr>
      </w:pPr>
      <w:r w:rsidRPr="00D42F99">
        <w:rPr>
          <w:rFonts w:ascii="Arial" w:hAnsi="Arial" w:cs="Arial"/>
          <w:sz w:val="22"/>
          <w:szCs w:val="22"/>
        </w:rPr>
        <w:t>jeden z obsahových rozměrů kvality života.</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2. Ve všech těchto funkcích má vládnutí</w:t>
      </w:r>
      <w:r w:rsidRPr="00D42F99">
        <w:rPr>
          <w:rFonts w:ascii="Arial" w:hAnsi="Arial" w:cs="Arial"/>
          <w:b/>
          <w:sz w:val="22"/>
          <w:szCs w:val="22"/>
        </w:rPr>
        <w:t xml:space="preserve"> dimenzi demokraticko-konstituční</w:t>
      </w:r>
      <w:r w:rsidRPr="00D42F99">
        <w:rPr>
          <w:rFonts w:ascii="Arial" w:hAnsi="Arial" w:cs="Arial"/>
          <w:sz w:val="22"/>
          <w:szCs w:val="22"/>
        </w:rPr>
        <w:t xml:space="preserve"> (jak vládnout demokraticky) a </w:t>
      </w:r>
      <w:r w:rsidRPr="00D42F99">
        <w:rPr>
          <w:rFonts w:ascii="Arial" w:hAnsi="Arial" w:cs="Arial"/>
          <w:b/>
          <w:sz w:val="22"/>
          <w:szCs w:val="22"/>
        </w:rPr>
        <w:t>dimenzi administrativně-regulační</w:t>
      </w:r>
      <w:r w:rsidRPr="00D42F99">
        <w:rPr>
          <w:rFonts w:ascii="Arial" w:hAnsi="Arial" w:cs="Arial"/>
          <w:sz w:val="22"/>
          <w:szCs w:val="22"/>
        </w:rPr>
        <w:t xml:space="preserve"> (jak vládnout dlouhodobě efektivně). </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bCs/>
          <w:sz w:val="22"/>
          <w:szCs w:val="22"/>
        </w:rPr>
        <w:t>3.</w:t>
      </w:r>
      <w:r w:rsidRPr="00D42F99">
        <w:rPr>
          <w:rFonts w:ascii="Arial" w:hAnsi="Arial" w:cs="Arial"/>
          <w:b/>
          <w:bCs/>
          <w:sz w:val="22"/>
          <w:szCs w:val="22"/>
        </w:rPr>
        <w:t xml:space="preserve"> Demokratickým vládnutím </w:t>
      </w:r>
      <w:r w:rsidRPr="00D42F99">
        <w:rPr>
          <w:rFonts w:ascii="Arial" w:hAnsi="Arial" w:cs="Arial"/>
          <w:bCs/>
          <w:sz w:val="22"/>
          <w:szCs w:val="22"/>
        </w:rPr>
        <w:t>rozumíme vládnutí založené na</w:t>
      </w:r>
      <w:r w:rsidRPr="00D42F99">
        <w:rPr>
          <w:rFonts w:ascii="Arial" w:hAnsi="Arial" w:cs="Arial"/>
          <w:b/>
          <w:bCs/>
          <w:sz w:val="22"/>
          <w:szCs w:val="22"/>
        </w:rPr>
        <w:t xml:space="preserve"> vícerozměrných lidských právech</w:t>
      </w:r>
      <w:r w:rsidRPr="00D42F99">
        <w:rPr>
          <w:rFonts w:ascii="Arial" w:hAnsi="Arial" w:cs="Arial"/>
          <w:sz w:val="22"/>
          <w:szCs w:val="22"/>
        </w:rPr>
        <w:t xml:space="preserve"> (občanská, politická, sociální a hospodářská), </w:t>
      </w:r>
      <w:r w:rsidRPr="00D42F99">
        <w:rPr>
          <w:rFonts w:ascii="Arial" w:hAnsi="Arial" w:cs="Arial"/>
          <w:b/>
          <w:bCs/>
          <w:sz w:val="22"/>
          <w:szCs w:val="22"/>
        </w:rPr>
        <w:t>pluralitě hodnot a jejich významů</w:t>
      </w:r>
      <w:r w:rsidRPr="00D42F99">
        <w:rPr>
          <w:rFonts w:ascii="Arial" w:hAnsi="Arial" w:cs="Arial"/>
          <w:sz w:val="22"/>
          <w:szCs w:val="22"/>
        </w:rPr>
        <w:t xml:space="preserve"> (neexistuje žádný objektivně správný význam hodnot jako je svoboda, rovnost nebo spravedlnost, ani žádná jejich objektivně správná hierarchie), </w:t>
      </w:r>
      <w:r w:rsidRPr="00D42F99">
        <w:rPr>
          <w:rFonts w:ascii="Arial" w:hAnsi="Arial" w:cs="Arial"/>
          <w:b/>
          <w:bCs/>
          <w:sz w:val="22"/>
          <w:szCs w:val="22"/>
        </w:rPr>
        <w:t>participaci</w:t>
      </w:r>
      <w:r w:rsidRPr="00D42F99">
        <w:rPr>
          <w:rFonts w:ascii="Arial" w:hAnsi="Arial" w:cs="Arial"/>
          <w:sz w:val="22"/>
          <w:szCs w:val="22"/>
        </w:rPr>
        <w:t xml:space="preserve"> (různé formy podílu na rozhodování)</w:t>
      </w:r>
      <w:r w:rsidRPr="00D42F99">
        <w:rPr>
          <w:rFonts w:ascii="Arial" w:hAnsi="Arial" w:cs="Arial"/>
          <w:b/>
          <w:bCs/>
          <w:sz w:val="22"/>
          <w:szCs w:val="22"/>
        </w:rPr>
        <w:t xml:space="preserve"> a diskusi </w:t>
      </w:r>
      <w:r w:rsidRPr="00D42F99">
        <w:rPr>
          <w:rFonts w:ascii="Arial" w:hAnsi="Arial" w:cs="Arial"/>
          <w:sz w:val="22"/>
          <w:szCs w:val="22"/>
        </w:rPr>
        <w:t>(vzájemné přesvědčování jako primární nástroj dosahování konsensu nebo kompromisu.</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4.</w:t>
      </w:r>
      <w:r w:rsidRPr="00D42F99">
        <w:rPr>
          <w:rFonts w:ascii="Arial" w:hAnsi="Arial" w:cs="Arial"/>
          <w:b/>
          <w:sz w:val="22"/>
          <w:szCs w:val="22"/>
        </w:rPr>
        <w:t xml:space="preserve"> Dlouhodobě efektivním vládnutím</w:t>
      </w:r>
      <w:r w:rsidRPr="00D42F99">
        <w:rPr>
          <w:rFonts w:ascii="Arial" w:hAnsi="Arial" w:cs="Arial"/>
          <w:sz w:val="22"/>
          <w:szCs w:val="22"/>
        </w:rPr>
        <w:t xml:space="preserve"> rozumíme vládnutí založené na </w:t>
      </w:r>
      <w:r w:rsidRPr="00D42F99">
        <w:rPr>
          <w:rFonts w:ascii="Arial" w:hAnsi="Arial" w:cs="Arial"/>
          <w:b/>
          <w:sz w:val="22"/>
          <w:szCs w:val="22"/>
        </w:rPr>
        <w:t>adaptabilitě</w:t>
      </w:r>
      <w:r w:rsidRPr="00D42F99">
        <w:rPr>
          <w:rFonts w:ascii="Arial" w:hAnsi="Arial" w:cs="Arial"/>
          <w:sz w:val="22"/>
          <w:szCs w:val="22"/>
        </w:rPr>
        <w:t xml:space="preserve"> (schopnosti adaptovat se na změnu a inovovat svůj postup), na </w:t>
      </w:r>
      <w:r w:rsidRPr="00D42F99">
        <w:rPr>
          <w:rFonts w:ascii="Arial" w:hAnsi="Arial" w:cs="Arial"/>
          <w:b/>
          <w:sz w:val="22"/>
          <w:szCs w:val="22"/>
        </w:rPr>
        <w:t>semi/koherentním jednání</w:t>
      </w:r>
      <w:r w:rsidRPr="00D42F99">
        <w:rPr>
          <w:rFonts w:ascii="Arial" w:hAnsi="Arial" w:cs="Arial"/>
          <w:sz w:val="22"/>
          <w:szCs w:val="22"/>
        </w:rPr>
        <w:t xml:space="preserve"> (schopnost systému koordinovat různorodost), </w:t>
      </w:r>
      <w:r w:rsidRPr="00D42F99">
        <w:rPr>
          <w:rFonts w:ascii="Arial" w:hAnsi="Arial" w:cs="Arial"/>
          <w:b/>
          <w:sz w:val="22"/>
          <w:szCs w:val="22"/>
        </w:rPr>
        <w:t>inkluzi</w:t>
      </w:r>
      <w:r w:rsidRPr="00D42F99">
        <w:rPr>
          <w:rFonts w:ascii="Arial" w:hAnsi="Arial" w:cs="Arial"/>
          <w:sz w:val="22"/>
          <w:szCs w:val="22"/>
        </w:rPr>
        <w:t xml:space="preserve"> (schopnost vtahovat do procesu vládnutí různé aktéry a využívat jejich různorodých zdrojů, od informací přes kompetence až po materiální zdroje) a </w:t>
      </w:r>
      <w:r w:rsidRPr="00D42F99">
        <w:rPr>
          <w:rFonts w:ascii="Arial" w:hAnsi="Arial" w:cs="Arial"/>
          <w:b/>
          <w:sz w:val="22"/>
          <w:szCs w:val="22"/>
        </w:rPr>
        <w:t>schopnosti uvažovat i jednat v různých časových horizontech</w:t>
      </w:r>
      <w:r w:rsidRPr="00D42F99">
        <w:rPr>
          <w:rFonts w:ascii="Arial" w:hAnsi="Arial" w:cs="Arial"/>
          <w:sz w:val="22"/>
          <w:szCs w:val="22"/>
        </w:rPr>
        <w:t xml:space="preserve"> (schopnost zachytit a reagovat na dlouhodobé změny, ale také na změny náhlé, na šoky).</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5.</w:t>
      </w:r>
      <w:r w:rsidRPr="00D42F99">
        <w:rPr>
          <w:rFonts w:ascii="Arial" w:hAnsi="Arial" w:cs="Arial"/>
          <w:b/>
          <w:sz w:val="22"/>
          <w:szCs w:val="22"/>
        </w:rPr>
        <w:t xml:space="preserve"> Dobré vládnutí chápeme jako vládnutí, které zohledňuje obě dimenze a propojuje je</w:t>
      </w:r>
      <w:r w:rsidRPr="00D42F99">
        <w:rPr>
          <w:rFonts w:ascii="Arial" w:hAnsi="Arial" w:cs="Arial"/>
          <w:sz w:val="22"/>
          <w:szCs w:val="22"/>
        </w:rPr>
        <w:t xml:space="preserve">. Konkrétní vymezení dobrého vládnutí není a nemůže být ani objektivní, ani univerzální. Dobré vládnutí v kontextu </w:t>
      </w:r>
      <w:r w:rsidRPr="00D42F99">
        <w:rPr>
          <w:rFonts w:ascii="Arial" w:hAnsi="Arial" w:cs="Arial"/>
          <w:i/>
          <w:sz w:val="22"/>
          <w:szCs w:val="22"/>
        </w:rPr>
        <w:t>Strategie ČR 2030</w:t>
      </w:r>
      <w:r w:rsidRPr="00D42F99">
        <w:rPr>
          <w:rFonts w:ascii="Arial" w:hAnsi="Arial" w:cs="Arial"/>
          <w:sz w:val="22"/>
          <w:szCs w:val="22"/>
        </w:rPr>
        <w:t xml:space="preserve"> jako strategie udržitelného rozvoje je proto sice vymezením aktuálním a umožňuje sledovat cíle v určeném časovém horizontu (2030, příp. 2050), současně však ponechává prostor pro budoucí změny.</w:t>
      </w:r>
      <w:r w:rsidRPr="00D42F99">
        <w:rPr>
          <w:rFonts w:ascii="Arial" w:hAnsi="Arial" w:cs="Arial"/>
          <w:b/>
          <w:sz w:val="22"/>
          <w:szCs w:val="22"/>
        </w:rPr>
        <w:t xml:space="preserve"> Takto pojaté dobré vládnutí zvyšuje odolnost (resilience) celého socio-ekologického systému. </w:t>
      </w:r>
      <w:r w:rsidRPr="00D42F99">
        <w:rPr>
          <w:rFonts w:ascii="Arial" w:hAnsi="Arial" w:cs="Arial"/>
          <w:sz w:val="22"/>
          <w:szCs w:val="22"/>
        </w:rPr>
        <w:t>Odolnost značí schopnost vyrovnávat se se změnou, v užším smyslu schopnost vyrovnávat se s riziky či náhlými šoky (ať již tyto změny/rizika/šoky přicházejí zvenku, nebo z nitra systému).</w:t>
      </w:r>
      <w:r w:rsidRPr="00D42F99">
        <w:rPr>
          <w:rFonts w:ascii="Arial" w:hAnsi="Arial" w:cs="Arial"/>
          <w:b/>
          <w:sz w:val="22"/>
          <w:szCs w:val="22"/>
        </w:rPr>
        <w:t xml:space="preserve"> </w:t>
      </w:r>
    </w:p>
    <w:p w:rsidR="002708E0" w:rsidRPr="00B74BDA" w:rsidRDefault="002708E0" w:rsidP="002708E0">
      <w:pPr>
        <w:pStyle w:val="Nadpis2"/>
        <w:numPr>
          <w:ilvl w:val="0"/>
          <w:numId w:val="0"/>
        </w:numPr>
        <w:ind w:left="576" w:hanging="576"/>
        <w:jc w:val="both"/>
        <w:rPr>
          <w:i/>
          <w:sz w:val="22"/>
          <w:szCs w:val="22"/>
        </w:rPr>
      </w:pPr>
      <w:bookmarkStart w:id="0" w:name="_Toc451958407"/>
      <w:r w:rsidRPr="00B74BDA">
        <w:rPr>
          <w:sz w:val="22"/>
          <w:szCs w:val="22"/>
        </w:rPr>
        <w:t>Aktéři a úrovně vládnutí</w:t>
      </w:r>
      <w:bookmarkEnd w:id="0"/>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bCs/>
          <w:sz w:val="22"/>
          <w:szCs w:val="22"/>
        </w:rPr>
        <w:t>6.</w:t>
      </w:r>
      <w:r w:rsidRPr="00D42F99">
        <w:rPr>
          <w:rFonts w:ascii="Arial" w:hAnsi="Arial" w:cs="Arial"/>
          <w:b/>
          <w:bCs/>
          <w:sz w:val="22"/>
          <w:szCs w:val="22"/>
        </w:rPr>
        <w:t xml:space="preserve"> Na vládnutí v ČR se legitimně podílí nejen vláda či státní správa, ale celá řada dalších aktérů, např. politické strany, nestátní neziskové organizace</w:t>
      </w:r>
      <w:r w:rsidRPr="00D42F99">
        <w:rPr>
          <w:rStyle w:val="Znakapoznpodarou"/>
          <w:rFonts w:ascii="Arial" w:eastAsiaTheme="minorEastAsia" w:hAnsi="Arial" w:cs="Arial"/>
          <w:sz w:val="22"/>
          <w:szCs w:val="22"/>
        </w:rPr>
        <w:footnoteReference w:id="1"/>
      </w:r>
      <w:r w:rsidRPr="00D42F99">
        <w:rPr>
          <w:rFonts w:ascii="Arial" w:hAnsi="Arial" w:cs="Arial"/>
          <w:sz w:val="22"/>
          <w:szCs w:val="22"/>
        </w:rPr>
        <w:t xml:space="preserve">, </w:t>
      </w:r>
      <w:r w:rsidRPr="00D42F99">
        <w:rPr>
          <w:rFonts w:ascii="Arial" w:hAnsi="Arial" w:cs="Arial"/>
          <w:b/>
          <w:sz w:val="22"/>
          <w:szCs w:val="22"/>
        </w:rPr>
        <w:t xml:space="preserve">zástupci zaměstnanců a zaměstnavatelů, </w:t>
      </w:r>
      <w:r w:rsidRPr="00D42F99">
        <w:rPr>
          <w:rFonts w:ascii="Arial" w:hAnsi="Arial" w:cs="Arial"/>
          <w:b/>
          <w:bCs/>
          <w:sz w:val="22"/>
          <w:szCs w:val="22"/>
        </w:rPr>
        <w:t>města, kraje, média, firmy či sociální hnutí</w:t>
      </w:r>
      <w:r w:rsidRPr="00D42F99">
        <w:rPr>
          <w:rFonts w:ascii="Arial" w:hAnsi="Arial" w:cs="Arial"/>
          <w:sz w:val="22"/>
          <w:szCs w:val="22"/>
        </w:rPr>
        <w:t xml:space="preserve">. Legitimním </w:t>
      </w:r>
      <w:r w:rsidRPr="00D42F99">
        <w:rPr>
          <w:rFonts w:ascii="Arial" w:hAnsi="Arial" w:cs="Arial"/>
          <w:b/>
          <w:bCs/>
          <w:sz w:val="22"/>
          <w:szCs w:val="22"/>
        </w:rPr>
        <w:t xml:space="preserve">aktérem vládnutí je v </w:t>
      </w:r>
      <w:r w:rsidRPr="00D42F99">
        <w:rPr>
          <w:rFonts w:ascii="Arial" w:hAnsi="Arial" w:cs="Arial"/>
          <w:sz w:val="22"/>
          <w:szCs w:val="22"/>
        </w:rPr>
        <w:t>řadě různých rolí</w:t>
      </w:r>
      <w:r w:rsidRPr="00D42F99">
        <w:rPr>
          <w:rFonts w:ascii="Arial" w:hAnsi="Arial" w:cs="Arial"/>
          <w:b/>
          <w:bCs/>
          <w:sz w:val="22"/>
          <w:szCs w:val="22"/>
        </w:rPr>
        <w:t xml:space="preserve"> také individuální občan</w:t>
      </w:r>
      <w:r w:rsidRPr="00D42F99">
        <w:rPr>
          <w:rFonts w:ascii="Arial" w:hAnsi="Arial" w:cs="Arial"/>
          <w:sz w:val="22"/>
          <w:szCs w:val="22"/>
        </w:rPr>
        <w:t>.</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bCs/>
          <w:sz w:val="22"/>
          <w:szCs w:val="22"/>
        </w:rPr>
        <w:t>7.</w:t>
      </w:r>
      <w:r w:rsidRPr="00D42F99">
        <w:rPr>
          <w:rFonts w:ascii="Arial" w:hAnsi="Arial" w:cs="Arial"/>
          <w:b/>
          <w:bCs/>
          <w:sz w:val="22"/>
          <w:szCs w:val="22"/>
        </w:rPr>
        <w:t xml:space="preserve"> Vládnutí v  ČR je víceúrovňové. </w:t>
      </w:r>
      <w:r w:rsidRPr="00D42F99">
        <w:rPr>
          <w:rFonts w:ascii="Arial" w:hAnsi="Arial" w:cs="Arial"/>
          <w:sz w:val="22"/>
          <w:szCs w:val="22"/>
        </w:rPr>
        <w:t xml:space="preserve">To znamená, že namísto snahy o maximální oddělení jednotlivých úrovní jde o jejich propojení a koordinaci aktivit z různých úrovní v zájmu zvyšování kvality života občanů. </w:t>
      </w:r>
      <w:r w:rsidRPr="00D42F99">
        <w:rPr>
          <w:rFonts w:ascii="Arial" w:hAnsi="Arial" w:cs="Arial"/>
          <w:b/>
          <w:sz w:val="22"/>
          <w:szCs w:val="22"/>
        </w:rPr>
        <w:t>Vedle úrovně národní/celostátní</w:t>
      </w:r>
      <w:r w:rsidRPr="00D42F99">
        <w:rPr>
          <w:rFonts w:ascii="Arial" w:hAnsi="Arial" w:cs="Arial"/>
          <w:sz w:val="22"/>
          <w:szCs w:val="22"/>
        </w:rPr>
        <w:t xml:space="preserve"> jsou zde ještě tři další úrovně: </w:t>
      </w:r>
      <w:r w:rsidRPr="00D42F99">
        <w:rPr>
          <w:rFonts w:ascii="Arial" w:hAnsi="Arial" w:cs="Arial"/>
          <w:b/>
          <w:sz w:val="22"/>
          <w:szCs w:val="22"/>
        </w:rPr>
        <w:t>úroveň Evropské unie (EU), úroveň regionů (kraje, mikroregiony apod.) a úroveň jednotlivých sídel (obce). Vládnutí v ČR je rovněž propojeno s vládnutím globálním</w:t>
      </w:r>
      <w:r w:rsidRPr="00D42F99">
        <w:rPr>
          <w:rFonts w:ascii="Arial" w:hAnsi="Arial" w:cs="Arial"/>
          <w:sz w:val="22"/>
          <w:szCs w:val="22"/>
        </w:rPr>
        <w:t xml:space="preserve">. </w:t>
      </w:r>
    </w:p>
    <w:p w:rsidR="002708E0" w:rsidRDefault="002708E0" w:rsidP="002708E0">
      <w:pPr>
        <w:pStyle w:val="Nadpis2"/>
        <w:numPr>
          <w:ilvl w:val="0"/>
          <w:numId w:val="0"/>
        </w:numPr>
        <w:ind w:left="576" w:hanging="576"/>
        <w:jc w:val="both"/>
        <w:rPr>
          <w:i/>
          <w:sz w:val="22"/>
          <w:szCs w:val="22"/>
        </w:rPr>
      </w:pPr>
      <w:bookmarkStart w:id="1" w:name="_Toc451958408"/>
    </w:p>
    <w:p w:rsidR="002708E0" w:rsidRPr="00D42F99" w:rsidRDefault="002708E0" w:rsidP="002708E0">
      <w:pPr>
        <w:pStyle w:val="Nadpis2"/>
        <w:numPr>
          <w:ilvl w:val="0"/>
          <w:numId w:val="0"/>
        </w:numPr>
        <w:ind w:left="576" w:hanging="576"/>
        <w:jc w:val="both"/>
        <w:rPr>
          <w:i/>
          <w:sz w:val="22"/>
          <w:szCs w:val="22"/>
        </w:rPr>
      </w:pPr>
      <w:r w:rsidRPr="00D42F99">
        <w:rPr>
          <w:sz w:val="22"/>
          <w:szCs w:val="22"/>
        </w:rPr>
        <w:t>Demokraticko-konstituční dimenze vládnutí</w:t>
      </w:r>
      <w:bookmarkEnd w:id="1"/>
    </w:p>
    <w:p w:rsidR="002708E0" w:rsidRPr="00D42F99" w:rsidRDefault="002708E0" w:rsidP="002708E0">
      <w:pPr>
        <w:jc w:val="both"/>
        <w:rPr>
          <w:rFonts w:ascii="Arial" w:hAnsi="Arial" w:cs="Arial"/>
          <w:sz w:val="22"/>
          <w:szCs w:val="22"/>
        </w:rPr>
      </w:pPr>
      <w:bookmarkStart w:id="2" w:name="h_30j0zll"/>
      <w:bookmarkEnd w:id="2"/>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8. Na základě analýzy </w:t>
      </w:r>
      <w:r w:rsidRPr="00D42F99">
        <w:rPr>
          <w:rFonts w:ascii="Arial" w:hAnsi="Arial" w:cs="Arial"/>
          <w:sz w:val="22"/>
          <w:szCs w:val="22"/>
          <w:highlight w:val="green"/>
        </w:rPr>
        <w:t>(ODKAZ ANALÝZA ROZVOJE)</w:t>
      </w:r>
      <w:r w:rsidRPr="00D42F99">
        <w:rPr>
          <w:rFonts w:ascii="Arial" w:hAnsi="Arial" w:cs="Arial"/>
          <w:sz w:val="22"/>
          <w:szCs w:val="22"/>
        </w:rPr>
        <w:t xml:space="preserve"> konstatujeme v demokraticko-konstituční dimenzi následující problémy:</w:t>
      </w:r>
    </w:p>
    <w:p w:rsidR="002708E0" w:rsidRPr="00D42F99" w:rsidRDefault="002708E0" w:rsidP="002708E0">
      <w:pPr>
        <w:jc w:val="both"/>
        <w:rPr>
          <w:rFonts w:ascii="Arial" w:hAnsi="Arial" w:cs="Arial"/>
          <w:sz w:val="22"/>
          <w:szCs w:val="22"/>
        </w:rPr>
      </w:pPr>
    </w:p>
    <w:p w:rsidR="002708E0" w:rsidRPr="00D42F99" w:rsidRDefault="002708E0" w:rsidP="002708E0">
      <w:pPr>
        <w:jc w:val="both"/>
        <w:rPr>
          <w:rStyle w:val="apple-style-span"/>
          <w:rFonts w:ascii="Arial" w:eastAsia="Arial" w:hAnsi="Arial" w:cs="Arial"/>
          <w:sz w:val="22"/>
          <w:szCs w:val="22"/>
          <w:shd w:val="clear" w:color="auto" w:fill="FFFFFF"/>
        </w:rPr>
      </w:pPr>
      <w:r w:rsidRPr="00D42F99">
        <w:rPr>
          <w:rFonts w:ascii="Arial" w:hAnsi="Arial" w:cs="Arial"/>
          <w:sz w:val="22"/>
          <w:szCs w:val="22"/>
        </w:rPr>
        <w:t>9.</w:t>
      </w:r>
      <w:r w:rsidRPr="00D42F99">
        <w:rPr>
          <w:rFonts w:ascii="Arial" w:hAnsi="Arial" w:cs="Arial"/>
          <w:b/>
          <w:sz w:val="22"/>
          <w:szCs w:val="22"/>
        </w:rPr>
        <w:t xml:space="preserve"> Za prvé</w:t>
      </w:r>
      <w:r w:rsidRPr="00D42F99">
        <w:rPr>
          <w:rFonts w:ascii="Arial" w:hAnsi="Arial" w:cs="Arial"/>
          <w:sz w:val="22"/>
          <w:szCs w:val="22"/>
        </w:rPr>
        <w:t>, klesající legitimita vládnutí v oblasti vstupů. Dosavadní dominantní reprezentativní formy liberální demokracie – systém voleb reprezentativních orgánů a systém politických stran – plní své funkce v menším rozsahu, než dříve. V teorii i v praxi narůstá pochybnost, jestli tyto formy opravdu zajišťují dostatečně velkou míru reprezentace. V kostce by to bylo možno vyjádřit heslem některých protestních hnutí: „Máme hlas, ale není ho slyšet.“</w:t>
      </w:r>
      <w:r w:rsidRPr="00D42F99">
        <w:rPr>
          <w:rStyle w:val="apple-style-span"/>
          <w:rFonts w:ascii="Arial" w:eastAsia="Arial" w:hAnsi="Arial" w:cs="Arial"/>
          <w:sz w:val="22"/>
          <w:szCs w:val="22"/>
          <w:shd w:val="clear" w:color="auto" w:fill="FFFFFF"/>
        </w:rPr>
        <w:t xml:space="preserve"> Jde o trend, který je patrný ve většině liberálních demokracií, v ČR se pouze v některých směrech projevuje silněji. </w:t>
      </w:r>
    </w:p>
    <w:p w:rsidR="002708E0" w:rsidRPr="00D42F99" w:rsidRDefault="002708E0" w:rsidP="002708E0">
      <w:pPr>
        <w:jc w:val="both"/>
        <w:rPr>
          <w:rStyle w:val="apple-style-span"/>
          <w:rFonts w:ascii="Arial" w:eastAsia="Arial" w:hAnsi="Arial" w:cs="Arial"/>
          <w:sz w:val="22"/>
          <w:szCs w:val="22"/>
          <w:shd w:val="clear" w:color="auto" w:fill="FFFFFF"/>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10.</w:t>
      </w:r>
      <w:r w:rsidRPr="00D42F99">
        <w:rPr>
          <w:rFonts w:ascii="Arial" w:hAnsi="Arial" w:cs="Arial"/>
          <w:b/>
          <w:bCs/>
          <w:sz w:val="22"/>
          <w:szCs w:val="22"/>
        </w:rPr>
        <w:t xml:space="preserve"> Za druhé</w:t>
      </w:r>
      <w:r w:rsidRPr="00D42F99">
        <w:rPr>
          <w:rFonts w:ascii="Arial" w:hAnsi="Arial" w:cs="Arial"/>
          <w:sz w:val="22"/>
          <w:szCs w:val="22"/>
        </w:rPr>
        <w:t>, míra a kvalita demokratické participace není jen otázkou individuálních předpokladů, ale je významně ovlivňována strukturálními nerovnostmi (např. vzděláním, příjmem apod.).</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102471">
        <w:rPr>
          <w:rFonts w:ascii="Arial" w:hAnsi="Arial" w:cs="Arial"/>
          <w:sz w:val="22"/>
          <w:szCs w:val="22"/>
        </w:rPr>
        <w:t>11.</w:t>
      </w:r>
      <w:r w:rsidRPr="00D42F99">
        <w:rPr>
          <w:rFonts w:ascii="Arial" w:hAnsi="Arial" w:cs="Arial"/>
          <w:b/>
          <w:sz w:val="22"/>
          <w:szCs w:val="22"/>
        </w:rPr>
        <w:t xml:space="preserve"> Za třetí</w:t>
      </w:r>
      <w:r w:rsidRPr="00D42F99">
        <w:rPr>
          <w:rFonts w:ascii="Arial" w:hAnsi="Arial" w:cs="Arial"/>
          <w:sz w:val="22"/>
          <w:szCs w:val="22"/>
        </w:rPr>
        <w:t>, různí aktéři se opakovaně snaží o změnu procedurálních pravidel vládnutí (např. změny volebního systému, zavádění přímých voleb apod.). Jakkoli některé takové změny mohou mít z hlediska systému smysl a lze o nich dosáhnout konsensu, dlouhodobé efekty a zvláště pak efekty z hlediska celého systému obvykle nejsou zohledňovány vůbec, nebo jen okrajově.</w:t>
      </w:r>
    </w:p>
    <w:p w:rsidR="002708E0" w:rsidRPr="00D42F99" w:rsidRDefault="002708E0" w:rsidP="002708E0">
      <w:pPr>
        <w:pStyle w:val="Nadpis3"/>
        <w:numPr>
          <w:ilvl w:val="0"/>
          <w:numId w:val="0"/>
        </w:numPr>
        <w:jc w:val="both"/>
        <w:rPr>
          <w:sz w:val="22"/>
          <w:szCs w:val="22"/>
        </w:rPr>
      </w:pPr>
      <w:bookmarkStart w:id="3" w:name="_Toc448693864"/>
      <w:bookmarkStart w:id="4" w:name="_Toc451958410"/>
      <w:bookmarkEnd w:id="3"/>
      <w:r w:rsidRPr="00D42F99">
        <w:rPr>
          <w:sz w:val="22"/>
          <w:szCs w:val="22"/>
        </w:rPr>
        <w:t>Jak vládnout demokraticky</w:t>
      </w:r>
      <w:bookmarkEnd w:id="4"/>
    </w:p>
    <w:p w:rsidR="002708E0" w:rsidRPr="00D42F99" w:rsidRDefault="002708E0" w:rsidP="002708E0">
      <w:pPr>
        <w:jc w:val="both"/>
        <w:rPr>
          <w:rFonts w:ascii="Arial" w:hAnsi="Arial" w:cs="Arial"/>
        </w:rPr>
      </w:pPr>
    </w:p>
    <w:p w:rsidR="002708E0" w:rsidRPr="00D42F99" w:rsidRDefault="002708E0" w:rsidP="002708E0">
      <w:pPr>
        <w:jc w:val="both"/>
        <w:rPr>
          <w:rFonts w:ascii="Arial" w:hAnsi="Arial" w:cs="Arial"/>
          <w:sz w:val="22"/>
          <w:szCs w:val="22"/>
        </w:rPr>
      </w:pPr>
      <w:r>
        <w:rPr>
          <w:rStyle w:val="apple-style-span"/>
          <w:rFonts w:ascii="Arial" w:eastAsia="Arial" w:hAnsi="Arial" w:cs="Arial"/>
          <w:sz w:val="22"/>
          <w:szCs w:val="22"/>
          <w:shd w:val="clear" w:color="auto" w:fill="FFFFFF"/>
        </w:rPr>
        <w:t xml:space="preserve">12. </w:t>
      </w:r>
      <w:r w:rsidRPr="00D42F99">
        <w:rPr>
          <w:rStyle w:val="apple-style-span"/>
          <w:rFonts w:ascii="Arial" w:eastAsia="Arial" w:hAnsi="Arial" w:cs="Arial"/>
          <w:sz w:val="22"/>
          <w:szCs w:val="22"/>
          <w:shd w:val="clear" w:color="auto" w:fill="FFFFFF"/>
        </w:rPr>
        <w:t xml:space="preserve">Dosavadní reprezentativní formy demokracie (systém voleb a politických stran) není žádoucí opouštět. Některé jejich funkce jsou v komplexní společnosti stěží nahraditelné. Je však žádoucí různými formami zvyšovat inkluzivnost vládnutí. Je proto třeba </w:t>
      </w:r>
      <w:r w:rsidRPr="00D42F99">
        <w:rPr>
          <w:rFonts w:ascii="Arial" w:hAnsi="Arial" w:cs="Arial"/>
          <w:sz w:val="22"/>
          <w:szCs w:val="22"/>
        </w:rPr>
        <w:t xml:space="preserve">podporovat </w:t>
      </w:r>
      <w:r w:rsidRPr="00D42F99">
        <w:rPr>
          <w:rFonts w:ascii="Arial" w:hAnsi="Arial" w:cs="Arial"/>
          <w:b/>
          <w:bCs/>
          <w:sz w:val="22"/>
          <w:szCs w:val="22"/>
        </w:rPr>
        <w:t>jak zlepšování stávajících forem reprezentativní demokracie</w:t>
      </w:r>
      <w:r w:rsidRPr="00D42F99">
        <w:rPr>
          <w:rFonts w:ascii="Arial" w:hAnsi="Arial" w:cs="Arial"/>
          <w:sz w:val="22"/>
          <w:szCs w:val="22"/>
        </w:rPr>
        <w:t xml:space="preserve">, </w:t>
      </w:r>
      <w:r w:rsidRPr="00D42F99">
        <w:rPr>
          <w:rFonts w:ascii="Arial" w:hAnsi="Arial" w:cs="Arial"/>
          <w:b/>
          <w:sz w:val="22"/>
          <w:szCs w:val="22"/>
        </w:rPr>
        <w:t xml:space="preserve">tak </w:t>
      </w:r>
      <w:r w:rsidRPr="00D42F99">
        <w:rPr>
          <w:rFonts w:ascii="Arial" w:hAnsi="Arial" w:cs="Arial"/>
          <w:b/>
          <w:bCs/>
          <w:sz w:val="22"/>
          <w:szCs w:val="22"/>
        </w:rPr>
        <w:t xml:space="preserve">uvažovat o institucionálních inovacích, o jiných významech a formách demokracie, </w:t>
      </w:r>
      <w:r w:rsidRPr="00D42F99">
        <w:rPr>
          <w:rFonts w:ascii="Arial" w:hAnsi="Arial" w:cs="Arial"/>
          <w:bCs/>
          <w:sz w:val="22"/>
          <w:szCs w:val="22"/>
        </w:rPr>
        <w:t>než jenom o demokracii reprezentativní.</w:t>
      </w:r>
      <w:r w:rsidRPr="00D42F99">
        <w:rPr>
          <w:rFonts w:ascii="Arial" w:hAnsi="Arial" w:cs="Arial"/>
          <w:b/>
          <w:bCs/>
          <w:sz w:val="22"/>
          <w:szCs w:val="22"/>
        </w:rPr>
        <w:t xml:space="preserve"> </w:t>
      </w:r>
      <w:r w:rsidRPr="00D42F99">
        <w:rPr>
          <w:rFonts w:ascii="Arial" w:hAnsi="Arial" w:cs="Arial"/>
          <w:bCs/>
          <w:sz w:val="22"/>
          <w:szCs w:val="22"/>
        </w:rPr>
        <w:t xml:space="preserve">Inkluzivnost může být zvyšována např. </w:t>
      </w:r>
      <w:r w:rsidRPr="00D42F99">
        <w:rPr>
          <w:rFonts w:ascii="Arial" w:hAnsi="Arial" w:cs="Arial"/>
          <w:sz w:val="22"/>
          <w:szCs w:val="22"/>
        </w:rPr>
        <w:t xml:space="preserve">průběžnými úpravami hranic volebních obvodů, aby volební právo zůstávalo stále rovné; prohlubováním tzv. sociálního dialogu; participativním rozpočtováním či deliberací veřejných politik. </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bCs/>
          <w:sz w:val="22"/>
          <w:szCs w:val="22"/>
        </w:rPr>
        <w:t>13. Protože však neexistuje žádné objektivně správné řešení a zároveň samozřejmě není možno přesně specifikovat budoucí inovace</w:t>
      </w:r>
      <w:r w:rsidRPr="00D42F99">
        <w:rPr>
          <w:rFonts w:ascii="Arial" w:hAnsi="Arial" w:cs="Arial"/>
          <w:b/>
          <w:bCs/>
          <w:sz w:val="22"/>
          <w:szCs w:val="22"/>
        </w:rPr>
        <w:t xml:space="preserve">, musí existovat široký prostor pro alternativní uvažování o demokratickém vládnutí a podpora tomuto uvažování. </w:t>
      </w:r>
      <w:r w:rsidRPr="00D42F99">
        <w:rPr>
          <w:rFonts w:ascii="Arial" w:hAnsi="Arial" w:cs="Arial"/>
          <w:bCs/>
          <w:sz w:val="22"/>
          <w:szCs w:val="22"/>
        </w:rPr>
        <w:t xml:space="preserve">Nemusí jít nutně o podporu finanční, často stačí prostor institucionální (od přizvání k rozhodování, přes vytváření institucionalizovaných sítí, až třeba po jednoduchou administrativní součinnost). </w:t>
      </w:r>
      <w:r w:rsidRPr="00D42F99">
        <w:rPr>
          <w:rFonts w:ascii="Arial" w:hAnsi="Arial" w:cs="Arial"/>
          <w:sz w:val="22"/>
          <w:szCs w:val="22"/>
        </w:rPr>
        <w:t xml:space="preserve">Nástroji  může být cílený vědecký výzkum, aktivita různých think-tanků a NNO, práce tzv. politických nadací, ale také řada aktivit, která budou různé demokratické inovace experimentálně provádět v praxi (např. příslušné požadavky v rámci kolektivního vyjednávání, systém deliberací vybraných veřejných politik, experimenty s tzv. nepodmíněným základním příjmem apod.). </w:t>
      </w:r>
    </w:p>
    <w:p w:rsidR="002708E0" w:rsidRPr="00D42F99" w:rsidRDefault="002708E0" w:rsidP="002708E0">
      <w:pPr>
        <w:jc w:val="both"/>
        <w:rPr>
          <w:rFonts w:ascii="Arial" w:hAnsi="Arial" w:cs="Arial"/>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14. Žádná forma demokratického vládnutí a to ani reprezentativní demokracie nemůže dlouhodobě stát na čistě formálním oprávnění. </w:t>
      </w:r>
      <w:r w:rsidRPr="00D42F99">
        <w:rPr>
          <w:rFonts w:ascii="Arial" w:hAnsi="Arial" w:cs="Arial"/>
          <w:b/>
          <w:sz w:val="22"/>
          <w:szCs w:val="22"/>
        </w:rPr>
        <w:t>Reálné naplnění jakékoli formy  demokratické participace vyžaduje rovné příležitosti.</w:t>
      </w:r>
      <w:r w:rsidRPr="00D42F99">
        <w:rPr>
          <w:rFonts w:ascii="Arial" w:hAnsi="Arial" w:cs="Arial"/>
          <w:sz w:val="22"/>
          <w:szCs w:val="22"/>
        </w:rPr>
        <w:t xml:space="preserve"> Bude vždy samozřejmě existovat rozdíl individuálních schopností či individuální orientace (např. nadání, fyzická konstituce, hierarchie individuálních zájmů apod.), a proto v praxi nikdo nebude demokratická práva využívat stejným způsobem a stejnou měrou. Rovné příležitosti jsou však otázkou strukturální, otázkou odstraňování překážek společenských (např. příslušné vzdělání, které umožňuje seznámit se s navrhovaným řešením, či porozumět komplexnímu problému). Společenské překážky mohou mít různé podoby. Mnohé prokazatelně souvisí se socio-ekonomickým postavením a snižování míry chudoby či zmenšování příjmových nerovností (</w:t>
      </w:r>
      <w:r w:rsidRPr="00D42F99">
        <w:rPr>
          <w:rFonts w:ascii="Arial" w:hAnsi="Arial" w:cs="Arial"/>
          <w:sz w:val="22"/>
          <w:szCs w:val="22"/>
          <w:highlight w:val="green"/>
        </w:rPr>
        <w:t>ODKAZ NA LIDÉ A SPOLEČNOST)</w:t>
      </w:r>
      <w:r w:rsidRPr="00D42F99">
        <w:rPr>
          <w:rFonts w:ascii="Arial" w:hAnsi="Arial" w:cs="Arial"/>
          <w:sz w:val="22"/>
          <w:szCs w:val="22"/>
        </w:rPr>
        <w:t xml:space="preserve"> má relevanci i pro vládnutí. Zde se však orientujeme primárně na ty překážky, které brání participaci a deliberaci přímo. Jsou to překážky, </w:t>
      </w:r>
      <w:r w:rsidRPr="00D42F99">
        <w:rPr>
          <w:rFonts w:ascii="Arial" w:hAnsi="Arial" w:cs="Arial"/>
          <w:sz w:val="22"/>
          <w:szCs w:val="22"/>
        </w:rPr>
        <w:lastRenderedPageBreak/>
        <w:t xml:space="preserve">které strukturálně omezují přístup k určitým informacím, k určitým dovednostem a k prostoru rozhodování (v geografickém i časovém smyslu). </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15.</w:t>
      </w:r>
      <w:r w:rsidRPr="00D42F99">
        <w:rPr>
          <w:rFonts w:ascii="Arial" w:hAnsi="Arial" w:cs="Arial"/>
          <w:b/>
          <w:bCs/>
          <w:sz w:val="22"/>
          <w:szCs w:val="22"/>
        </w:rPr>
        <w:t xml:space="preserve"> Přístup k informacím</w:t>
      </w:r>
      <w:r w:rsidRPr="00D42F99">
        <w:rPr>
          <w:rFonts w:ascii="Arial" w:hAnsi="Arial" w:cs="Arial"/>
          <w:sz w:val="22"/>
          <w:szCs w:val="22"/>
        </w:rPr>
        <w:t xml:space="preserve"> může mít mnoho forem, od silných médií veřejné služby, přes podporu budování odborných zázemí politických stran či tzv. politické nadace, až k rozvíjení systému e-Governmentu nebo obecně budování otevřené datové infrastruktury (open data).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16.</w:t>
      </w:r>
      <w:r w:rsidRPr="00D42F99">
        <w:rPr>
          <w:rFonts w:ascii="Arial" w:hAnsi="Arial" w:cs="Arial"/>
          <w:b/>
          <w:bCs/>
          <w:sz w:val="22"/>
          <w:szCs w:val="22"/>
        </w:rPr>
        <w:t xml:space="preserve"> Participace a zvláště deliberace jsou „měkké“ dovednosti. Lze se jim naučit</w:t>
      </w:r>
      <w:r w:rsidRPr="00D42F99">
        <w:rPr>
          <w:rFonts w:ascii="Arial" w:hAnsi="Arial" w:cs="Arial"/>
          <w:sz w:val="22"/>
          <w:szCs w:val="22"/>
        </w:rPr>
        <w:t xml:space="preserve">, cesty jsou různé (např. zakomponování participačních a deliberativních metod do vzdělávacího systému vč. vzdělávání dospělých), ale </w:t>
      </w:r>
      <w:r w:rsidRPr="00D42F99">
        <w:rPr>
          <w:rFonts w:ascii="Arial" w:hAnsi="Arial" w:cs="Arial"/>
          <w:b/>
          <w:bCs/>
          <w:sz w:val="22"/>
          <w:szCs w:val="22"/>
        </w:rPr>
        <w:t>zlepšují se primárně užíváním</w:t>
      </w:r>
      <w:r w:rsidRPr="00D42F99">
        <w:rPr>
          <w:rFonts w:ascii="Arial" w:hAnsi="Arial" w:cs="Arial"/>
          <w:sz w:val="22"/>
          <w:szCs w:val="22"/>
        </w:rPr>
        <w:t xml:space="preserve">. Čím častěji budou mít aktéři možnost participovat a deliberovat na různých úrovních, v různých fórech, při různých příležitostech (od přípravy územního plánu obce až po pracovně-právní vztahy v rámci kolektivního vyjednávání), tím budou schopnější deliberovat jinde.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17.</w:t>
      </w:r>
      <w:r w:rsidRPr="00D42F99">
        <w:rPr>
          <w:rFonts w:ascii="Arial" w:hAnsi="Arial" w:cs="Arial"/>
          <w:b/>
          <w:bCs/>
          <w:sz w:val="22"/>
          <w:szCs w:val="22"/>
        </w:rPr>
        <w:t xml:space="preserve"> Pro participaci a zvláště deliberaci je třeba čas</w:t>
      </w:r>
      <w:r w:rsidRPr="00D42F99">
        <w:rPr>
          <w:rFonts w:ascii="Arial" w:hAnsi="Arial" w:cs="Arial"/>
          <w:sz w:val="22"/>
          <w:szCs w:val="22"/>
        </w:rPr>
        <w:t xml:space="preserve">. „Mít čas“ ale není jenom otázkou individuálního rozhodnutí a priorit, takové rozhodnutí probíhá v určitém kontextu. V konkrétních formách participace a deliberace proto zohledňujme v prvé řadě vzdálenost v prostoru, zohledňujme místní podmínky. V praxi to může znamenat hlasovací urny dostatečně blízko bydliště; deliberace veřejných politik konané nejen v Praze, ale také v regionech; elektronické připomínkování apod.. Zohledňujme však také strukturální omezení dané tím, že většina občanů ČR užívá práce jako zdroje obživy a tráví jí polovinu i více času svého bdělého stavu. Očekáváme-li tedy větší míru participace a zvláště deliberace, je na místě vznášet příslušný požadavek na hospodářský systém (např. zkracování pracovní doby apod.). </w:t>
      </w:r>
      <w:r w:rsidRPr="00D42F99">
        <w:rPr>
          <w:rFonts w:ascii="Arial" w:hAnsi="Arial" w:cs="Arial"/>
          <w:sz w:val="22"/>
          <w:szCs w:val="22"/>
          <w:highlight w:val="green"/>
        </w:rPr>
        <w:t>ODKAZ NA LIDÉ A SPOLEČNOST)</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18.</w:t>
      </w:r>
      <w:r w:rsidRPr="00D42F99">
        <w:rPr>
          <w:rFonts w:ascii="Arial" w:hAnsi="Arial" w:cs="Arial"/>
          <w:b/>
          <w:bCs/>
          <w:sz w:val="22"/>
          <w:szCs w:val="22"/>
        </w:rPr>
        <w:t xml:space="preserve"> U každého rozhodnutí o změně procedurálních pravidel politického systému </w:t>
      </w:r>
      <w:r w:rsidRPr="00D42F99">
        <w:rPr>
          <w:rFonts w:ascii="Arial" w:hAnsi="Arial" w:cs="Arial"/>
          <w:sz w:val="22"/>
          <w:szCs w:val="22"/>
        </w:rPr>
        <w:t xml:space="preserve">– jakkoli samotná snaha o takovou změnu může být důvodná a její legitimita vyplývá z výše řečeného – </w:t>
      </w:r>
      <w:r w:rsidRPr="00D42F99">
        <w:rPr>
          <w:rFonts w:ascii="Arial" w:hAnsi="Arial" w:cs="Arial"/>
          <w:b/>
          <w:bCs/>
          <w:sz w:val="22"/>
          <w:szCs w:val="22"/>
        </w:rPr>
        <w:t>je nutné zvažovat také středně- a dlouhodobé dopady a vytvářet varianty řešení</w:t>
      </w:r>
      <w:r w:rsidRPr="00D42F99">
        <w:rPr>
          <w:rFonts w:ascii="Arial" w:hAnsi="Arial" w:cs="Arial"/>
          <w:sz w:val="22"/>
          <w:szCs w:val="22"/>
        </w:rPr>
        <w:t xml:space="preserve">. Zvláště důležité je to u změn systémů, které pracují v dlouhém časovém horizontu a mají velkou setrvačnost (např. volební systém, nové typy voleb apod.). </w:t>
      </w:r>
    </w:p>
    <w:p w:rsidR="002708E0" w:rsidRPr="00D42F99" w:rsidRDefault="002708E0" w:rsidP="002708E0">
      <w:pPr>
        <w:pStyle w:val="Nadpis2"/>
        <w:numPr>
          <w:ilvl w:val="0"/>
          <w:numId w:val="0"/>
        </w:numPr>
        <w:jc w:val="both"/>
        <w:rPr>
          <w:i/>
          <w:sz w:val="22"/>
          <w:szCs w:val="22"/>
        </w:rPr>
      </w:pPr>
      <w:bookmarkStart w:id="5" w:name="_Toc451958411"/>
      <w:r w:rsidRPr="00D42F99">
        <w:rPr>
          <w:sz w:val="22"/>
          <w:szCs w:val="22"/>
        </w:rPr>
        <w:t>Administrativně-regulační dimenze vládnutí</w:t>
      </w:r>
      <w:bookmarkEnd w:id="5"/>
    </w:p>
    <w:p w:rsidR="002708E0" w:rsidRPr="00D42F99" w:rsidRDefault="002708E0" w:rsidP="002708E0">
      <w:pPr>
        <w:jc w:val="both"/>
        <w:rPr>
          <w:rFonts w:ascii="Arial" w:hAnsi="Arial" w:cs="Arial"/>
          <w:sz w:val="22"/>
          <w:szCs w:val="22"/>
        </w:rPr>
      </w:pPr>
      <w:bookmarkStart w:id="6" w:name="h_1fob9te"/>
      <w:bookmarkEnd w:id="6"/>
    </w:p>
    <w:p w:rsidR="002708E0" w:rsidRPr="00D42F99" w:rsidRDefault="002708E0" w:rsidP="002708E0">
      <w:pPr>
        <w:jc w:val="both"/>
        <w:rPr>
          <w:rFonts w:ascii="Arial" w:hAnsi="Arial" w:cs="Arial"/>
          <w:sz w:val="22"/>
          <w:szCs w:val="22"/>
        </w:rPr>
      </w:pPr>
      <w:r w:rsidRPr="00D42F99">
        <w:rPr>
          <w:rFonts w:ascii="Arial" w:hAnsi="Arial" w:cs="Arial"/>
          <w:sz w:val="22"/>
          <w:szCs w:val="22"/>
        </w:rPr>
        <w:t>19. Na základě analýzy (</w:t>
      </w:r>
      <w:r w:rsidRPr="00D42F99">
        <w:rPr>
          <w:rFonts w:ascii="Arial" w:hAnsi="Arial" w:cs="Arial"/>
          <w:sz w:val="22"/>
          <w:szCs w:val="22"/>
          <w:highlight w:val="green"/>
        </w:rPr>
        <w:t>ODKAZ ANALÝZA ROZVOJE</w:t>
      </w:r>
      <w:r w:rsidRPr="00D42F99">
        <w:rPr>
          <w:rFonts w:ascii="Arial" w:hAnsi="Arial" w:cs="Arial"/>
          <w:sz w:val="22"/>
          <w:szCs w:val="22"/>
        </w:rPr>
        <w:t>) konstatujeme v administrativně-regulační dimenzi následující problémy:</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20.</w:t>
      </w:r>
      <w:r w:rsidRPr="00D42F99">
        <w:rPr>
          <w:rFonts w:ascii="Arial" w:hAnsi="Arial" w:cs="Arial"/>
          <w:b/>
          <w:bCs/>
          <w:sz w:val="22"/>
          <w:szCs w:val="22"/>
        </w:rPr>
        <w:t xml:space="preserve"> Za prvé</w:t>
      </w:r>
      <w:r w:rsidRPr="00D42F99">
        <w:rPr>
          <w:rFonts w:ascii="Arial" w:hAnsi="Arial" w:cs="Arial"/>
          <w:sz w:val="22"/>
          <w:szCs w:val="22"/>
        </w:rPr>
        <w:t>, veřejné služby, vytvářené a poskytované veřejným sektorem (vzdělávání, zdravotnictví, sociální služby aj.) jsou typickým příkladem komplexního systému. Zaměřují se na zlepšování životních podmínek jednotlivce. Každý z občanů ČR je však unikátní, má unikátní životní prostředí, sociální vazby, zdravotní stav atd.  Problémy jednotlivce mají navíc tendenci se kumulovat (zdravotní potíže mohou způsobit nezaměstnanost, ta pak nezřídka vede k sociálním deprivacím apod.) a rozrůstat (větší množství nezaměstnaných vytváří strukturální problém apod.). Dosavadní nastavení služeb, zejména v případě veřejné správy, tuto různorodost dostatečně nezohledňuje. Služby jsou plánovány lineární logikou s funkční specializací. Lidé jsou kategorizování dle jednotlivých potřeb a dle toho mají nárok na určité služby, jež veřejná správa poskytuje. Kategorie jsou často ale více výtvorem úřadů, než skutečnou reflexí potřeb konkrétního jednotlivce. Navíc mají makro charakter. Jedincům je tak sice zajištěn jistý univerzální standard, což je nesporně žádoucí, ale jen málokdo je typizovaným „průměrným příjemcem“ ve všech kategoriích. Většina lidí tak nedostává služby, které jejich situací opravdu řeší, nebo je nedostává v takové míře, která by měla efekt. Celé skupiny obyvatel se tak ocitají v pasti chudoby, případně jsou vystaveny jejímu enormnímu riziku při toliko drobném hospodářském výkyvu, nebo při pouze drobné změně metodiky posuzování. Lze také očekávat, že v návaznosti na trendy jako stárnutí populace, robotizace/automatizace různých odvětví či flexibilizace pracovních drah se budou budoucí potřeby obyvatelstva dále měnit a individualizovat. (</w:t>
      </w:r>
      <w:r w:rsidRPr="00D42F99">
        <w:rPr>
          <w:rFonts w:ascii="Arial" w:hAnsi="Arial" w:cs="Arial"/>
          <w:sz w:val="22"/>
          <w:szCs w:val="22"/>
          <w:highlight w:val="green"/>
        </w:rPr>
        <w:t>ODKAZ HOSPODÁŘSKÝ MODEL A LIDÉ A SPOLEČNOST)</w:t>
      </w:r>
      <w:r w:rsidRPr="00D42F99">
        <w:rPr>
          <w:rFonts w:ascii="Arial" w:hAnsi="Arial" w:cs="Arial"/>
          <w:sz w:val="22"/>
          <w:szCs w:val="22"/>
        </w:rPr>
        <w:t xml:space="preserve"> Problém s unifikací služeb danou lineárním plánováním bude stále </w:t>
      </w:r>
      <w:r w:rsidRPr="00D42F99">
        <w:rPr>
          <w:rFonts w:ascii="Arial" w:hAnsi="Arial" w:cs="Arial"/>
          <w:sz w:val="22"/>
          <w:szCs w:val="22"/>
        </w:rPr>
        <w:lastRenderedPageBreak/>
        <w:t xml:space="preserve">znatelnější. Tento trend bude dále posilovat vzhledem k rostoucím očekáváním obyvatelstva, které mj. vyplývá z individualizace soukromých služeb.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21.</w:t>
      </w:r>
      <w:r w:rsidRPr="00D42F99">
        <w:rPr>
          <w:rFonts w:ascii="Arial" w:hAnsi="Arial" w:cs="Arial"/>
          <w:b/>
          <w:bCs/>
          <w:sz w:val="22"/>
          <w:szCs w:val="22"/>
        </w:rPr>
        <w:t xml:space="preserve"> Za druhé</w:t>
      </w:r>
      <w:r w:rsidRPr="00D42F99">
        <w:rPr>
          <w:rFonts w:ascii="Arial" w:hAnsi="Arial" w:cs="Arial"/>
          <w:sz w:val="22"/>
          <w:szCs w:val="22"/>
        </w:rPr>
        <w:t xml:space="preserve">, vertikální charakter řízení státní a obecně veřejné správy – jakkoli dosud měl a částečně stále má své opodstatnění – vede spíše k zaměření na cíle svého úseku (nejen ministerstva, ale často i jednotlivého odboru ministerstva), než na celkové cíle politik. To je zvláště patrné u politik průřezových (např. sociální začleňování), ale také v nedostatečném příp. pouze formálním zvažování dopadů určité politiky na jinou oblast, než je oblast primárního zájmu (např. environmentální nebo sociální dopady průmyslové politiky apod.). Z druhé strany tento charakter veřejné správy snižuje celkovou koherenci veřejných politik, různé instituce tvoří a realizují často zcela protikladné politiky. To se přitom netýká jen politik v rámci ČR, ale i na úrovni EU a na úrovni globální. I strategické uvažování probíhá jen v úzkých hranicích resortů a výsledkem jsou stovky vzájemně nekompatibilních strategických materiálů. Vertikální přístup má navíc převážně podobu </w:t>
      </w:r>
      <w:r w:rsidRPr="00D42F99">
        <w:rPr>
          <w:rFonts w:ascii="Arial" w:hAnsi="Arial" w:cs="Arial"/>
          <w:i/>
          <w:iCs/>
          <w:sz w:val="22"/>
          <w:szCs w:val="22"/>
        </w:rPr>
        <w:t>top-down</w:t>
      </w:r>
      <w:r w:rsidRPr="00D42F99">
        <w:rPr>
          <w:rFonts w:ascii="Arial" w:hAnsi="Arial" w:cs="Arial"/>
          <w:sz w:val="22"/>
          <w:szCs w:val="22"/>
        </w:rPr>
        <w:t xml:space="preserve">. Nižší úrovně struktury jsou chápány jen jako převodové páky rozhodnutí centra a očekává se od nich především standardizovaný postup a naplňování předepsaných vnitřních indikátorů, jež mají často jen málo společného s potřebami občanů. Vertikála vládnutí přitom v úvahách aktérů obvykle končí celostátní úrovní a většina si neuvědomuje, nebo nepřikládá význam tomu, že ta či ona rozhodnutí mají efekt také na úrovni vyšší (úroveň EU a úroveň globální).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22.</w:t>
      </w:r>
      <w:r w:rsidRPr="00D42F99">
        <w:rPr>
          <w:rFonts w:ascii="Arial" w:hAnsi="Arial" w:cs="Arial"/>
          <w:b/>
          <w:bCs/>
          <w:sz w:val="22"/>
          <w:szCs w:val="22"/>
        </w:rPr>
        <w:t xml:space="preserve"> Za třetí</w:t>
      </w:r>
      <w:r w:rsidRPr="00D42F99">
        <w:rPr>
          <w:rFonts w:ascii="Arial" w:hAnsi="Arial" w:cs="Arial"/>
          <w:sz w:val="22"/>
          <w:szCs w:val="22"/>
        </w:rPr>
        <w:t xml:space="preserve">, ve veřejné správě chybí hlubší znalost aktuálních zahraničních trendů, schopnost koncepčního uvažování o východiscích vlastní práce a vědomí, do jaké míry jsou různé konkrétní postupy spojeny s různými hodnotovými kontexty. To vede na jedné straně ke koncepčnímu zaostávání a na straně druhé k často bezmyšlenkovitému, mechanickému přejímání a zavádění opatření z jiných kontextů. Zahraničí slouží jako zdroj pro tento mechanický přenos, ale nikoli jako zdroj zkušeností s jejich fungováním. Přínosy a dopady v domácím kontextu se často vůbec nezvažují. Zejména nižší úrovně struktury státní správy a veřejné správy obecně jsou pak často vystaveny mnoha protikladným nárokům, vyplývajícím ze vzájemně neslučitelných přístupů a tradic. Tento problém je ještě zesilován trvalým mediálně-politickým tlakem, jemuž je veřejná správa jako celek vystavena (např. mantra „příliš mnoho úředníků“ nebo „řídit stát jako firmu“). Logickým řešením je pak únik do formalismu a snaha zbavit se v maximální míře odpovědnosti za jakékoli řešení.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23.</w:t>
      </w:r>
      <w:r w:rsidRPr="00D42F99">
        <w:rPr>
          <w:rFonts w:ascii="Arial" w:hAnsi="Arial" w:cs="Arial"/>
          <w:b/>
          <w:bCs/>
          <w:sz w:val="22"/>
          <w:szCs w:val="22"/>
        </w:rPr>
        <w:t xml:space="preserve"> Za čtvrté</w:t>
      </w:r>
      <w:r w:rsidRPr="00D42F99">
        <w:rPr>
          <w:rFonts w:ascii="Arial" w:hAnsi="Arial" w:cs="Arial"/>
          <w:sz w:val="22"/>
          <w:szCs w:val="22"/>
        </w:rPr>
        <w:t>, rozhodnutí jsou ve veřejné správě činěna pod silným časovým tlakem, operativní činnosti výrazně dominují nad strategickými. To vede k dvěma výsledkům. Na straně jedné probíhají některé změny tak pomalu a jejich efekty jsou tak dlouhodobé, že veřejná správa, která se orientuje na krátkodobé efekty svých rozhodnutí – protože ty jediné je schopna v určité míře odhadovat, ty se od ní očekávají především a hlavně podle nich je také hodnocena – nezvažuje dlouhodobé efekty vůbec nebo jen velmi selektivně (příkladem dlouhodobých efektů může být např. míra sociálních nerovností a chudoby v důsledku určitého nastavení systému předškolního vzdělávání). Na straně druhé se některé věci dějí i tak příliš rychle – tedy v tak krátkém časovém horizontu – že je na ně veřejná správa založená na standardizaci agend schopna zareagovat až se zpožděním, pokud vůbec. (vesměs vnější šoky, např. živelné katastrofy velkého rozsahu, náhlé změny směrů a intenzity migrace apod..)</w:t>
      </w:r>
    </w:p>
    <w:p w:rsidR="002708E0" w:rsidRPr="00D42F99" w:rsidRDefault="002708E0" w:rsidP="002708E0">
      <w:pPr>
        <w:pStyle w:val="Nadpis3"/>
        <w:numPr>
          <w:ilvl w:val="0"/>
          <w:numId w:val="0"/>
        </w:numPr>
        <w:ind w:left="720" w:hanging="720"/>
        <w:jc w:val="both"/>
        <w:rPr>
          <w:sz w:val="22"/>
          <w:szCs w:val="22"/>
        </w:rPr>
      </w:pPr>
      <w:bookmarkStart w:id="7" w:name="_Toc451958413"/>
      <w:r w:rsidRPr="00D42F99">
        <w:rPr>
          <w:sz w:val="22"/>
          <w:szCs w:val="22"/>
        </w:rPr>
        <w:t>Jak vládnout dlouhodobě efektivně</w:t>
      </w:r>
      <w:bookmarkEnd w:id="7"/>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24. Obecně, nároky v administrativně-regulační dimenzi vládnutí, zejména nároky na veřejnou správu můžeme označit pojmem akontabilita (accountability). Veřejná správa by měla být (i) „čestná a korektní“ (transparentnost, předvídatelnost a nezneužívání moci), (ii) „štíhlá a účelná“ (účelnost, úspornost, účinnost) a (iii) „odolná a adaptabilní“ (schopnost učit se, přizpůsobovat se změně, odolnost vůči šokům vycházejícím z komplexní povahy světa). Mezi jednotlivými typy hodnot existuje pnutí, se kterým je nutné pracovat a vhodně je vyvažovat v závislosti na aktuální situaci a poslání konkrétní instituce. V kontextu udržitelného rozvoje je klíčový třetí rozměr akontability, tedy schopnost přizpůsobovat se změně a vyrovnávat se s komplexní povahou světa. </w:t>
      </w:r>
    </w:p>
    <w:p w:rsidR="002708E0" w:rsidRPr="00D42F99" w:rsidRDefault="002708E0" w:rsidP="002708E0">
      <w:pPr>
        <w:jc w:val="both"/>
        <w:rPr>
          <w:rFonts w:ascii="Arial" w:hAnsi="Arial" w:cs="Arial"/>
          <w:sz w:val="22"/>
          <w:szCs w:val="22"/>
        </w:rPr>
      </w:pPr>
    </w:p>
    <w:p w:rsidR="002708E0" w:rsidRPr="00D42F99" w:rsidRDefault="002708E0" w:rsidP="002708E0">
      <w:pPr>
        <w:autoSpaceDE w:val="0"/>
        <w:autoSpaceDN w:val="0"/>
        <w:adjustRightInd w:val="0"/>
        <w:spacing w:before="40" w:after="40"/>
        <w:jc w:val="both"/>
        <w:rPr>
          <w:rFonts w:ascii="Arial" w:hAnsi="Arial" w:cs="Arial"/>
          <w:sz w:val="22"/>
          <w:szCs w:val="22"/>
        </w:rPr>
      </w:pPr>
      <w:r w:rsidRPr="00102471">
        <w:rPr>
          <w:rFonts w:ascii="Arial" w:hAnsi="Arial" w:cs="Arial"/>
          <w:bCs/>
          <w:sz w:val="22"/>
          <w:szCs w:val="22"/>
        </w:rPr>
        <w:t>25.</w:t>
      </w:r>
      <w:r w:rsidRPr="00D42F99">
        <w:rPr>
          <w:rFonts w:ascii="Arial" w:hAnsi="Arial" w:cs="Arial"/>
          <w:b/>
          <w:bCs/>
          <w:sz w:val="22"/>
          <w:szCs w:val="22"/>
        </w:rPr>
        <w:t xml:space="preserve"> Při poskytování veřejných služeb je třeba do středu zájmu stavět občana, jeho potřeby a jeho kvalitu života,</w:t>
      </w:r>
      <w:r w:rsidRPr="00D42F99">
        <w:rPr>
          <w:rFonts w:ascii="Arial" w:hAnsi="Arial" w:cs="Arial"/>
          <w:sz w:val="22"/>
          <w:szCs w:val="22"/>
        </w:rPr>
        <w:t xml:space="preserve"> nikoli vnitřní potřeby veřejné správy. Právě občané jsou totiž důvodem existence a smyslem většiny činností veřejné správy. Pro naplnění tohoto smyslu a zároveň zkvalitnění služeb možno využívat „průsvitky“ systémového myšlení, tedy otázky typu: Jaký podíl poptávky po veřejné službě se podaří z pohledu občana uspokojivě vyřešit při prvním kontaktu? Jak dlouho trvá, než je záležitost uspokojivě vyřešena z pohledu občana? Jaká je míra selhání, tedy kdy se nepodaří naplnit účel služby z pohledu občana? Jaká je ve vztahu k odpovědím na předchozí otázky kapacita jednotlivých pracovišť? </w:t>
      </w:r>
    </w:p>
    <w:p w:rsidR="002708E0" w:rsidRPr="00D42F99" w:rsidRDefault="002708E0" w:rsidP="002708E0">
      <w:pPr>
        <w:autoSpaceDE w:val="0"/>
        <w:autoSpaceDN w:val="0"/>
        <w:adjustRightInd w:val="0"/>
        <w:spacing w:before="40" w:after="40"/>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26. Současně je nutno čelit mechanickému přejímání zahraničních přístupů a vyvarovat se tak zavádění dobře míněných, ale ve výsledku málo efektivních či dokonce škodlivých veřejných politik. K tomu může pomoci </w:t>
      </w:r>
      <w:r w:rsidRPr="00D42F99">
        <w:rPr>
          <w:rFonts w:ascii="Arial" w:hAnsi="Arial" w:cs="Arial"/>
          <w:b/>
          <w:bCs/>
          <w:sz w:val="22"/>
          <w:szCs w:val="22"/>
        </w:rPr>
        <w:t>větší míra využívání behaviorálních poznatků a metod experimentů</w:t>
      </w:r>
      <w:r w:rsidRPr="00D42F99">
        <w:rPr>
          <w:rFonts w:ascii="Arial" w:hAnsi="Arial" w:cs="Arial"/>
          <w:sz w:val="22"/>
          <w:szCs w:val="22"/>
        </w:rPr>
        <w:t xml:space="preserve"> a to ve většině fází tvorby a realizace veřejné politiky, zvláště však ve fázi její formulace, implementace a evaluace. Nástrojem mohou být např. </w:t>
      </w:r>
      <w:r w:rsidRPr="00D42F99">
        <w:rPr>
          <w:rFonts w:ascii="Arial" w:hAnsi="Arial" w:cs="Arial"/>
          <w:bCs/>
          <w:sz w:val="22"/>
          <w:szCs w:val="22"/>
        </w:rPr>
        <w:t>pilotáže, tedy testování efektů řešení na malých vzorcích</w:t>
      </w:r>
      <w:r w:rsidRPr="00D42F99">
        <w:rPr>
          <w:rFonts w:ascii="Arial" w:hAnsi="Arial" w:cs="Arial"/>
          <w:sz w:val="22"/>
          <w:szCs w:val="22"/>
        </w:rPr>
        <w:t xml:space="preserve"> (pilotáže, které ale nebudou mít pouze charakter objektivizujících vědeckých experimentů, ale také rozměr participativní a deliberativní). </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27. Výše zmíněné může dobře propojit vytvoření </w:t>
      </w:r>
      <w:r w:rsidRPr="00D42F99">
        <w:rPr>
          <w:rFonts w:ascii="Arial" w:hAnsi="Arial" w:cs="Arial"/>
          <w:b/>
          <w:bCs/>
          <w:sz w:val="22"/>
          <w:szCs w:val="22"/>
        </w:rPr>
        <w:t>funkční zpětné vazby poskytované z nejnižší úrovně veřejné správy</w:t>
      </w:r>
      <w:r w:rsidRPr="00D42F99">
        <w:rPr>
          <w:rFonts w:ascii="Arial" w:hAnsi="Arial" w:cs="Arial"/>
          <w:sz w:val="22"/>
          <w:szCs w:val="22"/>
        </w:rPr>
        <w:t xml:space="preserve">, od pracovníků, kteří veřejnou politiku v přímém styku s občany realizují a s ní spojená všestranná podpora oněm nejnižším složkám veřejné správy, </w:t>
      </w:r>
      <w:r w:rsidRPr="00D42F99">
        <w:rPr>
          <w:rFonts w:ascii="Arial" w:hAnsi="Arial" w:cs="Arial"/>
          <w:b/>
          <w:bCs/>
          <w:sz w:val="22"/>
          <w:szCs w:val="22"/>
        </w:rPr>
        <w:t>vytváření kultury myšlenkové a rozhodovací autonomie jako zdroje inovativních řešení</w:t>
      </w:r>
      <w:r w:rsidRPr="00D42F99">
        <w:rPr>
          <w:rFonts w:ascii="Arial" w:hAnsi="Arial" w:cs="Arial"/>
          <w:sz w:val="22"/>
          <w:szCs w:val="22"/>
        </w:rPr>
        <w:t xml:space="preserve">. Zdrojem takových inovací mohou být i celé instituce oné nejnižší úrovně veřejné správy, např. obce, jejich sdružení nebo kraje. Zjednodušeně řečeno, vyšší úrovně veřejné správy by měly úrovním nižším spíše říkat, čeho je třeba dosáhnout (např. danou veřejnou politikou) a na kterých principech stavět, než do detailu předepisovat konkrétní postup. Formální autonomie bez kompetence k samostatnému jednání žádný pozitivní efekt nepřinese. Z druhé strany však musí být taková autonomie spojena s odpovědností, odpovědností ve vztahu k principům zde rozvíjeného dobrého vládnutí. Bez této odpovědnosti, bez tlaku vytvářeného vyššími úrovněmi a bez metodické podpory z těchto vyšších úrovní může taková autonomie přivodit naopak efekty negativní. </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28. Nutno zároveň rozvíjet </w:t>
      </w:r>
      <w:r w:rsidRPr="00D42F99">
        <w:rPr>
          <w:rFonts w:ascii="Arial" w:hAnsi="Arial" w:cs="Arial"/>
          <w:b/>
          <w:bCs/>
          <w:sz w:val="22"/>
          <w:szCs w:val="22"/>
        </w:rPr>
        <w:t xml:space="preserve">systém široce pojatého vzdělávání pracovníků veřejné správy, </w:t>
      </w:r>
      <w:r w:rsidRPr="00D42F99">
        <w:rPr>
          <w:rFonts w:ascii="Arial" w:hAnsi="Arial" w:cs="Arial"/>
          <w:sz w:val="22"/>
          <w:szCs w:val="22"/>
        </w:rPr>
        <w:t xml:space="preserve">který nebude pouze administrativně-technickým školením, jako dosud, byť ona administrativně-technická složka v něm jistě musí být přítomna. Smyslem onoho nově koncipovaného vzdělávání by mělo být </w:t>
      </w:r>
      <w:r w:rsidRPr="00D42F99">
        <w:rPr>
          <w:rFonts w:ascii="Arial" w:hAnsi="Arial" w:cs="Arial"/>
          <w:b/>
          <w:bCs/>
          <w:sz w:val="22"/>
          <w:szCs w:val="22"/>
        </w:rPr>
        <w:t>nejen prostředkovat nejnovější vědecké poznatky či udržovat kontakt s aktuálně vedenou debatou v jiných zemích, ale současně nutit aktéry vládnutí vyrovnávat se s trvalou změnou, se skutečností, že žádné poznatky nejsou jednou provždy platné</w:t>
      </w:r>
      <w:r w:rsidRPr="00D42F99">
        <w:rPr>
          <w:rFonts w:ascii="Arial" w:hAnsi="Arial" w:cs="Arial"/>
          <w:sz w:val="22"/>
          <w:szCs w:val="22"/>
        </w:rPr>
        <w:t xml:space="preserve"> (např. pochopení návaznosti určitého přístupu na určité normativní předpoklady, možnosti a limity různých typů dat a jejich vypovídacích hodnot, limity výzkumných designů, v nichž byla nějaká zjištění vyprodukována apod.). Realizovat je to možno systémem vzdělávání státních zaměstnanců, vyplývajících ze zákona o státní službě a dále ve formě soustavného propojení tohoto vzdělávání s odbornými pracovišti (např. univerzity, Akademie věd ČR, tzv. veřejné výzkumné instituce). Na nižších úrovních veřejné správy mohou tuto roli hrát různé institucionalizované sítě (např. sítě rozvíjející Místní agendu 21).</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29.</w:t>
      </w:r>
      <w:r w:rsidRPr="00D42F99">
        <w:rPr>
          <w:rFonts w:ascii="Arial" w:hAnsi="Arial" w:cs="Arial"/>
          <w:b/>
          <w:bCs/>
          <w:sz w:val="22"/>
          <w:szCs w:val="22"/>
        </w:rPr>
        <w:t xml:space="preserve"> V dnešních podmínkách ČR je možno apelovat také na posílení odborného zázemí tvorby veřejné politiky</w:t>
      </w:r>
      <w:r w:rsidRPr="00D42F99">
        <w:rPr>
          <w:rFonts w:ascii="Arial" w:hAnsi="Arial" w:cs="Arial"/>
          <w:sz w:val="22"/>
          <w:szCs w:val="22"/>
        </w:rPr>
        <w:t>. Týkat by se to mělo nejen institucí, které veřejné politiky primárně formulují nebo je implementují (např. vláda), ale i těch, které o nich spolu/rozhodují (např. zákonodárné sbory). V řadě případů by nebylo nutno nové instituce vytvářet, stačilo by lépe využívat již existujících, zmíněných v předchozím odstavci v souvislosti se vzděláváním. Odborné zázemí má mimořádně velký význam také pro vládnutí na úrovni EU, neboť právě expertíza je jedním z nejsilnějších nástrojů, kterými mohou aktéři z ČR ovlivňovat rozhodnutí na úrovni EU.</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lastRenderedPageBreak/>
        <w:t xml:space="preserve">30. V kontextu onoho široce pojatého vzdělávání a zároveň posilování odbornosti má zvláštní význam </w:t>
      </w:r>
      <w:r w:rsidRPr="00D42F99">
        <w:rPr>
          <w:rFonts w:ascii="Arial" w:hAnsi="Arial" w:cs="Arial"/>
          <w:b/>
          <w:bCs/>
          <w:sz w:val="22"/>
          <w:szCs w:val="22"/>
        </w:rPr>
        <w:t>zlepšování a systematizace sběru dat</w:t>
      </w:r>
      <w:r w:rsidRPr="00D42F99">
        <w:rPr>
          <w:rFonts w:ascii="Arial" w:hAnsi="Arial" w:cs="Arial"/>
          <w:sz w:val="22"/>
          <w:szCs w:val="22"/>
        </w:rPr>
        <w:t xml:space="preserve">, která jsou pro tvorbu a realizaci veřejných politik nutná </w:t>
      </w:r>
      <w:r w:rsidRPr="00D42F99">
        <w:rPr>
          <w:rFonts w:ascii="Arial" w:hAnsi="Arial" w:cs="Arial"/>
          <w:b/>
          <w:bCs/>
          <w:sz w:val="22"/>
          <w:szCs w:val="22"/>
        </w:rPr>
        <w:t>a zároveň zajišťování jejich dostupnosti</w:t>
      </w:r>
      <w:r w:rsidRPr="00D42F99">
        <w:rPr>
          <w:rFonts w:ascii="Arial" w:hAnsi="Arial" w:cs="Arial"/>
          <w:sz w:val="22"/>
          <w:szCs w:val="22"/>
        </w:rPr>
        <w:t xml:space="preserve"> pro všechny aktéry vládnutí (e-Government; otevřená datová infrastruktura/open data). A to pro všechny úrovně vládnutí, tedy úroveň EU, úroveň ČR, úroveň kraje i úroveň obce.</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31. Apelovat je třeba také na média: </w:t>
      </w:r>
      <w:r w:rsidRPr="00D42F99">
        <w:rPr>
          <w:rFonts w:ascii="Arial" w:hAnsi="Arial" w:cs="Arial"/>
          <w:b/>
          <w:bCs/>
          <w:sz w:val="22"/>
          <w:szCs w:val="22"/>
        </w:rPr>
        <w:t>stejně jako by veřejná správa měla dle principů dobrého vládnutí jednat, měla by média s vědomím těchto principů o tomto jednání informova</w:t>
      </w:r>
      <w:r w:rsidRPr="00D42F99">
        <w:rPr>
          <w:rFonts w:ascii="Arial" w:hAnsi="Arial" w:cs="Arial"/>
          <w:sz w:val="22"/>
          <w:szCs w:val="22"/>
        </w:rPr>
        <w:t>t (např. uvažovat o veřejné politice v delším časovém horizontu, získávat přehled o nejnovějším vědeckém vývoji, vyvarovat se mechanického přejímání zahraničních řešení, zvažovat protikladně působící nároky akontability, podílet se na zprostředkovávání relevantních dat apod.). To je úkol především pro média veřejné služby, ale je třeba se s tímto očekáváním obracet rovněž na média soukromá.</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32. Koherenci veřejných politik by výrazně posílila</w:t>
      </w:r>
      <w:r w:rsidRPr="00D42F99">
        <w:rPr>
          <w:rFonts w:ascii="Arial" w:hAnsi="Arial" w:cs="Arial"/>
          <w:b/>
          <w:bCs/>
          <w:sz w:val="22"/>
          <w:szCs w:val="22"/>
        </w:rPr>
        <w:t xml:space="preserve"> soustavná horizontální koordinace, jak intra-, tak interinstitucionální</w:t>
      </w:r>
      <w:r w:rsidRPr="00D42F99">
        <w:rPr>
          <w:rFonts w:ascii="Arial" w:hAnsi="Arial" w:cs="Arial"/>
          <w:sz w:val="22"/>
          <w:szCs w:val="22"/>
        </w:rPr>
        <w:t xml:space="preserve"> (např. v rámci ministerstev i mezi ministerstvy, v rámci krajského úřadu a mezi kraji apod.). Nástrojem může být </w:t>
      </w:r>
      <w:r w:rsidRPr="00D42F99">
        <w:rPr>
          <w:rFonts w:ascii="Arial" w:hAnsi="Arial" w:cs="Arial"/>
          <w:b/>
          <w:bCs/>
          <w:sz w:val="22"/>
          <w:szCs w:val="22"/>
        </w:rPr>
        <w:t>vytváření strategických útvarů různých institucí a dispozice nástroji, které takovým útvarům umožní koordinační roli hrát</w:t>
      </w:r>
      <w:r w:rsidRPr="00D42F99">
        <w:rPr>
          <w:rFonts w:ascii="Arial" w:hAnsi="Arial" w:cs="Arial"/>
          <w:sz w:val="22"/>
          <w:szCs w:val="22"/>
        </w:rPr>
        <w:t xml:space="preserve"> (např. dostatečné množství zaměstnanců; kompetence; vytvoření strategické rozpočtové položky; víceleté finanční rámce apod.). Ale také systém cirkulace kádrů (např. stáže na jiných ministerstvech či v jiných krajích, ale také intenzivnější podpora zahraničních stáží typu </w:t>
      </w:r>
      <w:r w:rsidRPr="00D42F99">
        <w:rPr>
          <w:rFonts w:ascii="Arial" w:hAnsi="Arial" w:cs="Arial"/>
          <w:i/>
          <w:iCs/>
          <w:sz w:val="22"/>
          <w:szCs w:val="22"/>
        </w:rPr>
        <w:t>seconded national experts</w:t>
      </w:r>
      <w:r w:rsidRPr="00D42F99">
        <w:rPr>
          <w:rFonts w:ascii="Arial" w:hAnsi="Arial" w:cs="Arial"/>
          <w:sz w:val="22"/>
          <w:szCs w:val="22"/>
        </w:rPr>
        <w:t xml:space="preserve"> při EK apod.). Na nižších úrovních veřejné správy může být tento systém dobře doplněn fungováním v rámci institucionalizovaných sítí (např. Asociace krajů ČR, Svaz měst a obcí ČR či jednotlivých regionů, Sdružení místních samospráv, Národní síť zdravých měst ČR apod.)</w:t>
      </w:r>
    </w:p>
    <w:p w:rsidR="002708E0" w:rsidRPr="00D42F99" w:rsidRDefault="002708E0" w:rsidP="002708E0">
      <w:pPr>
        <w:jc w:val="both"/>
        <w:rPr>
          <w:rFonts w:ascii="Arial" w:hAnsi="Arial" w:cs="Arial"/>
          <w:sz w:val="22"/>
          <w:szCs w:val="22"/>
        </w:rPr>
      </w:pPr>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33. Z týchž důvodů je žádoucí </w:t>
      </w:r>
      <w:r w:rsidRPr="00D42F99">
        <w:rPr>
          <w:rFonts w:ascii="Arial" w:hAnsi="Arial" w:cs="Arial"/>
          <w:b/>
          <w:bCs/>
          <w:sz w:val="22"/>
          <w:szCs w:val="22"/>
        </w:rPr>
        <w:t>posílit také koordinaci vertikální</w:t>
      </w:r>
      <w:r w:rsidRPr="00D42F99">
        <w:rPr>
          <w:rFonts w:ascii="Arial" w:hAnsi="Arial" w:cs="Arial"/>
          <w:b/>
          <w:sz w:val="22"/>
          <w:szCs w:val="22"/>
        </w:rPr>
        <w:t>, která by měla zahrnovat nejen státní správu, ale také samosprávu a z modelu hierarchického řízení shora ji obrátit spíše</w:t>
      </w:r>
      <w:r w:rsidRPr="00D42F99">
        <w:rPr>
          <w:rFonts w:ascii="Arial" w:hAnsi="Arial" w:cs="Arial"/>
          <w:sz w:val="22"/>
          <w:szCs w:val="22"/>
        </w:rPr>
        <w:t xml:space="preserve"> </w:t>
      </w:r>
      <w:r w:rsidRPr="00D42F99">
        <w:rPr>
          <w:rFonts w:ascii="Arial" w:hAnsi="Arial" w:cs="Arial"/>
          <w:b/>
          <w:bCs/>
          <w:sz w:val="22"/>
          <w:szCs w:val="22"/>
        </w:rPr>
        <w:t>k modelu obousměrné cirkulace návrhů, řešení a zkušeností</w:t>
      </w:r>
      <w:r w:rsidRPr="00D42F99">
        <w:rPr>
          <w:rFonts w:ascii="Arial" w:hAnsi="Arial" w:cs="Arial"/>
          <w:sz w:val="22"/>
          <w:szCs w:val="22"/>
        </w:rPr>
        <w:t xml:space="preserve"> (např. národní definice dobrých standardů a disagregované návrhy pro města s ohledem na velikost území - specifické komunitní řešení daného města – zkušenosti s realizací, s nímž se město obrátí na příslušné ministerstvo), participace na vyšší/nižší úrovni a deliberace postupu. Překrývání přístupů z více úrovní  je prospěšné. Jednak se je možno touto cestou spíše vyrovnat s individualizací potřeb, jednak je touto cestou vytvářen „záložní zdroj“ pro případ ad hoc či soustavného selhávání jedné z úrovní.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b/>
          <w:bCs/>
          <w:sz w:val="22"/>
          <w:szCs w:val="22"/>
        </w:rPr>
      </w:pPr>
      <w:r w:rsidRPr="00102471">
        <w:rPr>
          <w:rFonts w:ascii="Arial" w:hAnsi="Arial" w:cs="Arial"/>
          <w:bCs/>
          <w:sz w:val="22"/>
          <w:szCs w:val="22"/>
        </w:rPr>
        <w:t>34.</w:t>
      </w:r>
      <w:r w:rsidRPr="00D42F99">
        <w:rPr>
          <w:rFonts w:ascii="Arial" w:hAnsi="Arial" w:cs="Arial"/>
          <w:b/>
          <w:bCs/>
          <w:sz w:val="22"/>
          <w:szCs w:val="22"/>
        </w:rPr>
        <w:t xml:space="preserve"> Vertikální koordinace</w:t>
      </w:r>
      <w:r w:rsidRPr="00D42F99">
        <w:rPr>
          <w:rFonts w:ascii="Arial" w:hAnsi="Arial" w:cs="Arial"/>
          <w:sz w:val="22"/>
          <w:szCs w:val="22"/>
        </w:rPr>
        <w:t xml:space="preserve"> se přitom netýká jen území ČR; vzhledem k propojení politického systému ČR s politickým systémem EU, nebo třeba zakotvení v systému mezinárodních vztahů je žádoucí rozvíjet tento model </w:t>
      </w:r>
      <w:r w:rsidRPr="00D42F99">
        <w:rPr>
          <w:rFonts w:ascii="Arial" w:hAnsi="Arial" w:cs="Arial"/>
          <w:b/>
          <w:bCs/>
          <w:sz w:val="22"/>
          <w:szCs w:val="22"/>
        </w:rPr>
        <w:t>i ve vztahu k jiným, než národním úrovním vládnutí</w:t>
      </w:r>
      <w:r w:rsidRPr="00D42F99">
        <w:rPr>
          <w:rFonts w:ascii="Arial" w:hAnsi="Arial" w:cs="Arial"/>
          <w:sz w:val="22"/>
          <w:szCs w:val="22"/>
        </w:rPr>
        <w:t>. Od koordinace tvorby veřejné politiky na evropské úrovni (např. skrze systematičtější přípravu podkladů pro COREPER a její provázání s cílí a politikami na národní úrovni) až po koordinovanou aktivitu ve funkčně vymezených mezinárodních organizacích.</w:t>
      </w:r>
      <w:r w:rsidRPr="00D42F99">
        <w:rPr>
          <w:rStyle w:val="Znakapoznpodarou"/>
          <w:rFonts w:ascii="Arial" w:eastAsiaTheme="minorEastAsia" w:hAnsi="Arial" w:cs="Arial"/>
          <w:sz w:val="22"/>
          <w:szCs w:val="22"/>
        </w:rPr>
        <w:footnoteReference w:id="2"/>
      </w:r>
      <w:r w:rsidRPr="00D42F99">
        <w:rPr>
          <w:rFonts w:ascii="Arial" w:hAnsi="Arial" w:cs="Arial"/>
          <w:sz w:val="22"/>
          <w:szCs w:val="22"/>
        </w:rPr>
        <w:t xml:space="preserve"> </w:t>
      </w:r>
    </w:p>
    <w:p w:rsidR="002708E0" w:rsidRPr="00D42F99" w:rsidRDefault="002708E0" w:rsidP="002708E0">
      <w:pPr>
        <w:jc w:val="both"/>
        <w:rPr>
          <w:rFonts w:ascii="Arial" w:hAnsi="Arial" w:cs="Arial"/>
          <w:b/>
          <w:bCs/>
          <w:sz w:val="22"/>
          <w:szCs w:val="22"/>
        </w:rPr>
      </w:pPr>
    </w:p>
    <w:p w:rsidR="002708E0" w:rsidRPr="00D42F99" w:rsidRDefault="002708E0" w:rsidP="002708E0">
      <w:pPr>
        <w:jc w:val="both"/>
        <w:rPr>
          <w:rFonts w:ascii="Arial" w:hAnsi="Arial" w:cs="Arial"/>
          <w:sz w:val="22"/>
          <w:szCs w:val="22"/>
        </w:rPr>
      </w:pPr>
      <w:r w:rsidRPr="00102471">
        <w:rPr>
          <w:rFonts w:ascii="Arial" w:hAnsi="Arial" w:cs="Arial"/>
          <w:bCs/>
          <w:sz w:val="22"/>
          <w:szCs w:val="22"/>
        </w:rPr>
        <w:t>35.</w:t>
      </w:r>
      <w:r w:rsidRPr="00D42F99">
        <w:rPr>
          <w:rFonts w:ascii="Arial" w:hAnsi="Arial" w:cs="Arial"/>
          <w:b/>
          <w:bCs/>
          <w:sz w:val="22"/>
          <w:szCs w:val="22"/>
        </w:rPr>
        <w:t xml:space="preserve"> U každého rozhodnutí třeba zvažovat krátko-, středně- i dlouhodobé dopady (např.  s využitím RIA - Regulatory Impact Assessment a inovace v podobě SIA - Sustainability Impact Assessment) a vytvářet varianty řešení</w:t>
      </w:r>
      <w:r w:rsidRPr="00D42F99">
        <w:rPr>
          <w:rFonts w:ascii="Arial" w:hAnsi="Arial" w:cs="Arial"/>
          <w:sz w:val="22"/>
          <w:szCs w:val="22"/>
        </w:rPr>
        <w:t xml:space="preserve">. Zvláště důležité je to u změn systémů, které pracují v dlouhém časovém horizontu. To neznamená, že dlouhodobý efekt lze předpovědět, je však možné odhadnout dlouhodobá rizika – nevíme, co se v komplexním systému v dlouhodobém horizontu stane, ale jsme často schopni říci, co by se při určité kombinaci faktorů stát mohlo. </w:t>
      </w:r>
      <w:r w:rsidRPr="00D42F99">
        <w:rPr>
          <w:rFonts w:ascii="Arial" w:hAnsi="Arial" w:cs="Arial"/>
          <w:b/>
          <w:bCs/>
          <w:sz w:val="22"/>
          <w:szCs w:val="22"/>
        </w:rPr>
        <w:t xml:space="preserve">Současně </w:t>
      </w:r>
      <w:r w:rsidRPr="00D42F99">
        <w:rPr>
          <w:rFonts w:ascii="Arial" w:hAnsi="Arial" w:cs="Arial"/>
          <w:sz w:val="22"/>
          <w:szCs w:val="22"/>
        </w:rPr>
        <w:t>pracovníkům nejnižší úrovně veřejné správy, kteří veřejnou politiku v přímém styku s občany realizují, ale také jiným aktérům vládnutí</w:t>
      </w:r>
      <w:r w:rsidRPr="00D42F99">
        <w:rPr>
          <w:rFonts w:ascii="Arial" w:hAnsi="Arial" w:cs="Arial"/>
          <w:b/>
          <w:bCs/>
          <w:sz w:val="22"/>
          <w:szCs w:val="22"/>
        </w:rPr>
        <w:t xml:space="preserve"> prostor k inovativnímu řešení v těch oblastech, kde veřejná správa nemůže dostatečně rychle sama reagovat </w:t>
      </w:r>
      <w:r w:rsidRPr="00D42F99">
        <w:rPr>
          <w:rFonts w:ascii="Arial" w:hAnsi="Arial" w:cs="Arial"/>
          <w:sz w:val="22"/>
          <w:szCs w:val="22"/>
        </w:rPr>
        <w:t xml:space="preserve">a to do doby, než bude veřejná správa schopna vyřešit daný problém dlouhodobě efektivněji. Právě občané a jejich potřeby, stále si to opakujme, jsou totiž důvodem existence a smyslem většiny činností veřejné správy. </w:t>
      </w:r>
    </w:p>
    <w:p w:rsidR="002708E0" w:rsidRPr="00D42F99" w:rsidRDefault="002708E0" w:rsidP="002708E0">
      <w:pPr>
        <w:jc w:val="both"/>
        <w:rPr>
          <w:rFonts w:ascii="Arial" w:hAnsi="Arial" w:cs="Arial"/>
          <w:sz w:val="22"/>
          <w:szCs w:val="22"/>
        </w:rPr>
      </w:pPr>
    </w:p>
    <w:p w:rsidR="002708E0" w:rsidRPr="00D42F99" w:rsidRDefault="002708E0" w:rsidP="002708E0">
      <w:pPr>
        <w:pStyle w:val="Nadpis1"/>
        <w:numPr>
          <w:ilvl w:val="0"/>
          <w:numId w:val="0"/>
        </w:numPr>
        <w:ind w:left="432" w:hanging="432"/>
        <w:jc w:val="both"/>
      </w:pPr>
      <w:bookmarkStart w:id="8" w:name="_Toc448746560"/>
      <w:bookmarkStart w:id="9" w:name="_Toc451958414"/>
      <w:r w:rsidRPr="00D42F99">
        <w:lastRenderedPageBreak/>
        <w:t>Strategické cíle</w:t>
      </w:r>
      <w:bookmarkEnd w:id="8"/>
      <w:bookmarkEnd w:id="9"/>
      <w:r w:rsidRPr="00D42F99">
        <w:t xml:space="preserve"> – Dobré vládnutí (pro udržitelný rozvoj)</w:t>
      </w:r>
    </w:p>
    <w:p w:rsidR="002708E0" w:rsidRPr="00D42F99" w:rsidRDefault="002708E0" w:rsidP="002708E0">
      <w:pPr>
        <w:jc w:val="both"/>
        <w:rPr>
          <w:rFonts w:ascii="Arial" w:hAnsi="Arial" w:cs="Arial"/>
          <w:sz w:val="22"/>
          <w:szCs w:val="22"/>
        </w:rPr>
      </w:pPr>
      <w:bookmarkStart w:id="10" w:name="h_4d34og8"/>
      <w:bookmarkStart w:id="11" w:name="h_17dp8vu"/>
      <w:bookmarkStart w:id="12" w:name="h_3rdcrjn"/>
      <w:bookmarkEnd w:id="10"/>
      <w:bookmarkEnd w:id="11"/>
      <w:bookmarkEnd w:id="12"/>
    </w:p>
    <w:p w:rsidR="002708E0" w:rsidRPr="00D42F99" w:rsidRDefault="002708E0" w:rsidP="002708E0">
      <w:pPr>
        <w:jc w:val="both"/>
        <w:rPr>
          <w:rFonts w:ascii="Arial" w:hAnsi="Arial" w:cs="Arial"/>
          <w:sz w:val="22"/>
          <w:szCs w:val="22"/>
        </w:rPr>
      </w:pPr>
      <w:r w:rsidRPr="00D42F99">
        <w:rPr>
          <w:rFonts w:ascii="Arial" w:hAnsi="Arial" w:cs="Arial"/>
          <w:sz w:val="22"/>
          <w:szCs w:val="22"/>
        </w:rPr>
        <w:t xml:space="preserve">Strategické cíle berou na zřetel všechny tři funkce, které vládnutí v kontextu udržitelného rozvoje má a propojují nároky, které máme na vládnutí v demokraticko-konstituční i administrativně-regulační dimenzi. </w:t>
      </w:r>
    </w:p>
    <w:p w:rsidR="002708E0" w:rsidRPr="00D42F99" w:rsidRDefault="002708E0" w:rsidP="002708E0">
      <w:pPr>
        <w:jc w:val="both"/>
        <w:rPr>
          <w:rFonts w:ascii="Arial" w:hAnsi="Arial" w:cs="Arial"/>
          <w:sz w:val="22"/>
          <w:szCs w:val="22"/>
        </w:rPr>
      </w:pPr>
    </w:p>
    <w:p w:rsidR="002708E0" w:rsidRPr="00D42F99" w:rsidRDefault="002708E0" w:rsidP="002708E0">
      <w:pPr>
        <w:pStyle w:val="Odstavecseseznamem1"/>
        <w:ind w:left="0"/>
        <w:jc w:val="both"/>
        <w:rPr>
          <w:rFonts w:ascii="Arial" w:hAnsi="Arial" w:cs="Arial"/>
          <w:sz w:val="22"/>
          <w:szCs w:val="22"/>
        </w:rPr>
      </w:pPr>
      <w:r w:rsidRPr="00102471">
        <w:rPr>
          <w:rFonts w:ascii="Arial" w:hAnsi="Arial" w:cs="Arial"/>
          <w:sz w:val="22"/>
          <w:szCs w:val="22"/>
        </w:rPr>
        <w:t>1)</w:t>
      </w:r>
      <w:r w:rsidRPr="00D42F99">
        <w:rPr>
          <w:rFonts w:ascii="Arial" w:hAnsi="Arial" w:cs="Arial"/>
          <w:b/>
          <w:sz w:val="22"/>
          <w:szCs w:val="22"/>
        </w:rPr>
        <w:t xml:space="preserve"> Zakomponovat principy udržitelného rozvoje a dobrého vládnutí do systému vzdělávání </w:t>
      </w:r>
      <w:r w:rsidRPr="00D42F99">
        <w:rPr>
          <w:rFonts w:ascii="Arial" w:hAnsi="Arial" w:cs="Arial"/>
          <w:sz w:val="22"/>
          <w:szCs w:val="22"/>
        </w:rPr>
        <w:t xml:space="preserve">(základního, středního, vysokoškolského i vzdělávání dospělých; tedy za spolupráce státní správy, krajů a obcí, univerzit, NNO, firem atd.) </w:t>
      </w:r>
      <w:r w:rsidRPr="00D42F99">
        <w:rPr>
          <w:rFonts w:ascii="Arial" w:hAnsi="Arial" w:cs="Arial"/>
          <w:b/>
          <w:sz w:val="22"/>
          <w:szCs w:val="22"/>
        </w:rPr>
        <w:t>a do systému podpory vědy</w:t>
      </w:r>
      <w:r w:rsidRPr="00D42F99">
        <w:rPr>
          <w:rFonts w:ascii="Arial" w:hAnsi="Arial" w:cs="Arial"/>
          <w:sz w:val="22"/>
          <w:szCs w:val="22"/>
        </w:rPr>
        <w:t xml:space="preserve"> (např. formou vědecko-výzkumné veřejné politiky, fungováním GAČR a TAČR, specificky zaměřenými výzkumnými programy ministerstev apod.).</w:t>
      </w:r>
    </w:p>
    <w:p w:rsidR="002708E0" w:rsidRPr="00D42F99" w:rsidRDefault="002708E0" w:rsidP="002708E0">
      <w:pPr>
        <w:pStyle w:val="Odstavecseseznamem1"/>
        <w:ind w:left="0"/>
        <w:jc w:val="both"/>
        <w:rPr>
          <w:rFonts w:ascii="Arial" w:hAnsi="Arial" w:cs="Arial"/>
          <w:b/>
          <w:sz w:val="22"/>
          <w:szCs w:val="22"/>
        </w:rPr>
      </w:pPr>
    </w:p>
    <w:p w:rsidR="002708E0" w:rsidRPr="00D42F99" w:rsidRDefault="002708E0" w:rsidP="002708E0">
      <w:pPr>
        <w:pStyle w:val="Odstavecseseznamem1"/>
        <w:ind w:left="0"/>
        <w:jc w:val="both"/>
        <w:rPr>
          <w:rFonts w:ascii="Arial" w:hAnsi="Arial" w:cs="Arial"/>
          <w:sz w:val="22"/>
          <w:szCs w:val="22"/>
        </w:rPr>
      </w:pPr>
      <w:r w:rsidRPr="00102471">
        <w:rPr>
          <w:rFonts w:ascii="Arial" w:hAnsi="Arial" w:cs="Arial"/>
          <w:sz w:val="22"/>
          <w:szCs w:val="22"/>
        </w:rPr>
        <w:t>2)</w:t>
      </w:r>
      <w:r w:rsidRPr="00D42F99">
        <w:rPr>
          <w:rFonts w:ascii="Arial" w:hAnsi="Arial" w:cs="Arial"/>
          <w:b/>
          <w:sz w:val="22"/>
          <w:szCs w:val="22"/>
        </w:rPr>
        <w:t xml:space="preserve"> Vytvořit institucionální kapacity</w:t>
      </w:r>
      <w:r w:rsidRPr="00D42F99">
        <w:rPr>
          <w:rFonts w:ascii="Arial" w:hAnsi="Arial" w:cs="Arial"/>
          <w:sz w:val="22"/>
          <w:szCs w:val="22"/>
        </w:rPr>
        <w:t xml:space="preserve"> pro udržitelný rozvoj a dobré vládnutí. V prvé řadě síť </w:t>
      </w:r>
      <w:r w:rsidRPr="00D42F99">
        <w:rPr>
          <w:rFonts w:ascii="Arial" w:hAnsi="Arial" w:cs="Arial"/>
          <w:b/>
          <w:sz w:val="22"/>
          <w:szCs w:val="22"/>
        </w:rPr>
        <w:t xml:space="preserve">stabilních a dlouhodobě působících strategických a koordinačních útvarů různých institucí veřejné správy (zvláště ministerstev a krajů), </w:t>
      </w:r>
      <w:r w:rsidRPr="00D42F99">
        <w:rPr>
          <w:rFonts w:ascii="Arial" w:hAnsi="Arial" w:cs="Arial"/>
          <w:sz w:val="22"/>
          <w:szCs w:val="22"/>
        </w:rPr>
        <w:t xml:space="preserve">jejichž úkolem bude podporovat koherenci aktivit v rámci dané instituce a zároveň komunikovat s obdobnými útvary jiných institucí (např. strategické koordinační útvary ministerstev, krajů, měst; ať již nově zřízená, či existující oddělení k této práci přeorientovaná). </w:t>
      </w:r>
      <w:r w:rsidRPr="00D42F99">
        <w:rPr>
          <w:rFonts w:ascii="Arial" w:hAnsi="Arial" w:cs="Arial"/>
          <w:b/>
          <w:sz w:val="22"/>
          <w:szCs w:val="22"/>
        </w:rPr>
        <w:t>Takový organizační útvar by měl existovat také na úrovni vlády jako celku.</w:t>
      </w:r>
      <w:r w:rsidRPr="00D42F99">
        <w:rPr>
          <w:rFonts w:ascii="Arial" w:hAnsi="Arial" w:cs="Arial"/>
          <w:sz w:val="22"/>
          <w:szCs w:val="22"/>
        </w:rPr>
        <w:t xml:space="preserve"> Součástí této kapacity je </w:t>
      </w:r>
      <w:r w:rsidRPr="00D42F99">
        <w:rPr>
          <w:rFonts w:ascii="Arial" w:hAnsi="Arial" w:cs="Arial"/>
          <w:b/>
          <w:sz w:val="22"/>
          <w:szCs w:val="22"/>
        </w:rPr>
        <w:t>vytvoření trvalých komunikačních kanálů mezi strategickými a koordinačními útvary různých institucí, dlouhodobé personální i finanční zabezpečení těchto útvarů a jejich vybavení nástroji, jimiž by mohly principy udržitelného rozvoje a dobrého vládnutí aktivně podporovat</w:t>
      </w:r>
      <w:r w:rsidRPr="00D42F99">
        <w:rPr>
          <w:rFonts w:ascii="Arial" w:hAnsi="Arial" w:cs="Arial"/>
          <w:sz w:val="22"/>
          <w:szCs w:val="22"/>
        </w:rPr>
        <w:t xml:space="preserve"> (např. kompetence či vytvoření strategické položky v rozpočtu dané instituce, jež by sloužila k naplňování strategických záměrů či víceleté finanční rámce). Obecně pak přerozdělení pracovního času mezi operativními a strategickými agendami, zejména ve státní správě. Žádoucí je, aby v kategoriích institucionální kapacity – byť samozřejmě s ohledem ku svým specifikům – uvažovaly rovněž všichni ostatní aktéři tvorby veřejné politiky, zejména politické strany, zaměstnanecké a zaměstnavatelského svazy, firmy a NNO apod. </w:t>
      </w:r>
    </w:p>
    <w:p w:rsidR="002708E0" w:rsidRPr="00D42F99" w:rsidRDefault="002708E0" w:rsidP="002708E0">
      <w:pPr>
        <w:pStyle w:val="Odstavecseseznamem1"/>
        <w:ind w:left="360"/>
        <w:jc w:val="both"/>
        <w:rPr>
          <w:rFonts w:ascii="Arial" w:hAnsi="Arial" w:cs="Arial"/>
          <w:sz w:val="22"/>
          <w:szCs w:val="22"/>
        </w:rPr>
      </w:pPr>
    </w:p>
    <w:p w:rsidR="002708E0" w:rsidRPr="00D42F99" w:rsidRDefault="002708E0" w:rsidP="002708E0">
      <w:pPr>
        <w:pStyle w:val="Odstavecseseznamem1"/>
        <w:ind w:left="0"/>
        <w:jc w:val="both"/>
        <w:rPr>
          <w:rFonts w:ascii="Arial" w:hAnsi="Arial" w:cs="Arial"/>
          <w:sz w:val="22"/>
          <w:szCs w:val="22"/>
        </w:rPr>
      </w:pPr>
      <w:r w:rsidRPr="00102471">
        <w:rPr>
          <w:rFonts w:ascii="Arial" w:hAnsi="Arial" w:cs="Arial"/>
          <w:sz w:val="22"/>
          <w:szCs w:val="22"/>
        </w:rPr>
        <w:t>3)</w:t>
      </w:r>
      <w:r w:rsidRPr="00D42F99">
        <w:rPr>
          <w:rFonts w:ascii="Arial" w:hAnsi="Arial" w:cs="Arial"/>
          <w:b/>
          <w:sz w:val="22"/>
          <w:szCs w:val="22"/>
        </w:rPr>
        <w:t xml:space="preserve"> Vytvořit systém široce pojatého vzdělávání, v prvé řadě zaměstnanců státní správy, jehož tématické zaměření i formy by měly zohledňovat nejen administrativně-technické znalosti</w:t>
      </w:r>
      <w:r w:rsidRPr="00D42F99">
        <w:rPr>
          <w:rFonts w:ascii="Arial" w:hAnsi="Arial" w:cs="Arial"/>
          <w:sz w:val="22"/>
          <w:szCs w:val="22"/>
        </w:rPr>
        <w:t xml:space="preserve"> (např. školení z nejnovější legislativy), </w:t>
      </w:r>
      <w:r w:rsidRPr="00D42F99">
        <w:rPr>
          <w:rFonts w:ascii="Arial" w:hAnsi="Arial" w:cs="Arial"/>
          <w:b/>
          <w:sz w:val="22"/>
          <w:szCs w:val="22"/>
        </w:rPr>
        <w:t>ale především rozvíjet principy udržitelného rozvoje a dobrého vládnutí.</w:t>
      </w:r>
      <w:r w:rsidRPr="00D42F99">
        <w:rPr>
          <w:rFonts w:ascii="Arial" w:hAnsi="Arial" w:cs="Arial"/>
          <w:sz w:val="22"/>
          <w:szCs w:val="22"/>
        </w:rPr>
        <w:t xml:space="preserve"> Toto vzdělávání může být navázáno na existující či připravované formy vzdělávání státních zaměstnanců, může být různou formou propojeno s odbornými pracovišti (např. univerzity, AV ČR, tzv. veřejné výzkumné instituce). Může být ale také podporováno cirkulací pracovníků (např. systém stáží v jiných institucích v ČR, systém stáží v EK či ve veřejných správách jiných států, různé formy sabatiklu/tvůrčího volna apod.). Mělo by se v určitých formách realizovat také na úrovni samospráv.</w:t>
      </w:r>
    </w:p>
    <w:p w:rsidR="002708E0" w:rsidRPr="00D42F99" w:rsidRDefault="002708E0" w:rsidP="002708E0">
      <w:pPr>
        <w:pStyle w:val="Odstavecseseznamem1"/>
        <w:ind w:left="0"/>
        <w:jc w:val="both"/>
        <w:rPr>
          <w:rFonts w:ascii="Arial" w:hAnsi="Arial" w:cs="Arial"/>
          <w:sz w:val="22"/>
          <w:szCs w:val="22"/>
        </w:rPr>
      </w:pPr>
    </w:p>
    <w:p w:rsidR="002708E0" w:rsidRPr="00D42F99" w:rsidRDefault="002708E0" w:rsidP="002708E0">
      <w:pPr>
        <w:pStyle w:val="Odstavecseseznamem1"/>
        <w:ind w:left="0"/>
        <w:jc w:val="both"/>
        <w:rPr>
          <w:rFonts w:ascii="Arial" w:hAnsi="Arial" w:cs="Arial"/>
          <w:sz w:val="22"/>
          <w:szCs w:val="22"/>
        </w:rPr>
      </w:pPr>
      <w:r w:rsidRPr="00102471">
        <w:rPr>
          <w:rFonts w:ascii="Arial" w:hAnsi="Arial" w:cs="Arial"/>
          <w:sz w:val="22"/>
          <w:szCs w:val="22"/>
        </w:rPr>
        <w:t>4)</w:t>
      </w:r>
      <w:r w:rsidRPr="00D42F99">
        <w:rPr>
          <w:rFonts w:ascii="Arial" w:hAnsi="Arial" w:cs="Arial"/>
          <w:b/>
          <w:sz w:val="22"/>
          <w:szCs w:val="22"/>
        </w:rPr>
        <w:t xml:space="preserve"> Vytvořit a rozvíjet systém sběru relevantních dat pro potřeby tvorby veřejných politik a rozvíjet systém jejich oběhu mezi všemi aktéry </w:t>
      </w:r>
      <w:r w:rsidRPr="00D42F99">
        <w:rPr>
          <w:rFonts w:ascii="Arial" w:hAnsi="Arial" w:cs="Arial"/>
          <w:sz w:val="22"/>
          <w:szCs w:val="22"/>
        </w:rPr>
        <w:t>(např. e-Government; otevřená datová infrastruktura/open data).</w:t>
      </w:r>
    </w:p>
    <w:p w:rsidR="002708E0" w:rsidRPr="00D42F99" w:rsidRDefault="002708E0" w:rsidP="002708E0">
      <w:pPr>
        <w:pStyle w:val="Odstavecseseznamem1"/>
        <w:jc w:val="both"/>
        <w:rPr>
          <w:rFonts w:ascii="Arial" w:hAnsi="Arial" w:cs="Arial"/>
          <w:sz w:val="22"/>
          <w:szCs w:val="22"/>
        </w:rPr>
      </w:pPr>
    </w:p>
    <w:p w:rsidR="002708E0" w:rsidRPr="00FF47D5" w:rsidRDefault="002708E0" w:rsidP="002708E0">
      <w:pPr>
        <w:pStyle w:val="Odstavecseseznamem1"/>
        <w:ind w:left="0"/>
        <w:jc w:val="both"/>
        <w:rPr>
          <w:rFonts w:ascii="Arial" w:hAnsi="Arial" w:cs="Arial"/>
          <w:sz w:val="22"/>
          <w:szCs w:val="22"/>
        </w:rPr>
      </w:pPr>
      <w:r w:rsidRPr="00102471">
        <w:rPr>
          <w:rFonts w:ascii="Arial" w:hAnsi="Arial" w:cs="Arial"/>
          <w:sz w:val="22"/>
          <w:szCs w:val="22"/>
        </w:rPr>
        <w:t>5)</w:t>
      </w:r>
      <w:r w:rsidRPr="00D42F99">
        <w:rPr>
          <w:rFonts w:ascii="Arial" w:hAnsi="Arial" w:cs="Arial"/>
          <w:b/>
          <w:sz w:val="22"/>
          <w:szCs w:val="22"/>
        </w:rPr>
        <w:t xml:space="preserve"> Instituce veřejné správy budou rozvíjet principy udržitelného rozvoje a dobrého vládnutí konkrétní aktivitou.</w:t>
      </w:r>
      <w:r w:rsidRPr="00D42F99">
        <w:rPr>
          <w:rFonts w:ascii="Arial" w:hAnsi="Arial" w:cs="Arial"/>
          <w:sz w:val="22"/>
          <w:szCs w:val="22"/>
        </w:rPr>
        <w:t xml:space="preserve"> Ať už to bude příprava konkrétní veřejné politiky (za využití např. pilotáže, deliberace, SIA apod.), tzv. participativní rozpočtování, příprava strategických dokumentů a jejich implementace, experimenty s rozhodovací autonomií nebo jakékoli jiné řešení nějakého problému, při němž budou schopny principy udržitelného rozvoje a dobrého vládnutí zohlednit. </w:t>
      </w:r>
      <w:r w:rsidRPr="00D42F99">
        <w:rPr>
          <w:rFonts w:ascii="Arial" w:hAnsi="Arial" w:cs="Arial"/>
          <w:b/>
          <w:sz w:val="22"/>
          <w:szCs w:val="22"/>
        </w:rPr>
        <w:t xml:space="preserve">Spolu s tím nechť je vytvořen dlouhodobý systém zpětné vazby </w:t>
      </w:r>
      <w:r w:rsidRPr="00D42F99">
        <w:rPr>
          <w:rFonts w:ascii="Arial" w:hAnsi="Arial" w:cs="Arial"/>
          <w:sz w:val="22"/>
          <w:szCs w:val="22"/>
        </w:rPr>
        <w:t>(např. pravidelná setkání; společný informační systém apod.)</w:t>
      </w:r>
      <w:r w:rsidRPr="00D42F99">
        <w:rPr>
          <w:rFonts w:ascii="Arial" w:hAnsi="Arial" w:cs="Arial"/>
          <w:b/>
          <w:sz w:val="22"/>
          <w:szCs w:val="22"/>
        </w:rPr>
        <w:t>, který umožní sdílet a využívat zkušenosti, stejně jako cíleně zaměřovat metodickou podporu ze strany strategických a koordinačních útvarů.</w:t>
      </w:r>
      <w:r w:rsidRPr="00D42F99">
        <w:rPr>
          <w:rFonts w:ascii="Arial" w:hAnsi="Arial" w:cs="Arial"/>
          <w:sz w:val="22"/>
          <w:szCs w:val="22"/>
        </w:rPr>
        <w:t xml:space="preserve"> K aktivitě podobného druhu a k uvažování v uvedeném směru bude vybízen celý veřejný sektor, resp. všichni aktéři tvorby veřejné politiky</w:t>
      </w:r>
      <w:bookmarkStart w:id="13" w:name="_Toc451956653"/>
      <w:bookmarkStart w:id="14" w:name="_Toc451956654"/>
      <w:bookmarkStart w:id="15" w:name="_Toc451956655"/>
      <w:bookmarkStart w:id="16" w:name="_Toc451956656"/>
      <w:bookmarkStart w:id="17" w:name="_Toc451956657"/>
      <w:bookmarkStart w:id="18" w:name="_Toc451956658"/>
      <w:bookmarkStart w:id="19" w:name="_Toc451956659"/>
      <w:bookmarkStart w:id="20" w:name="_Toc451956660"/>
      <w:bookmarkStart w:id="21" w:name="_Toc451956662"/>
      <w:bookmarkStart w:id="22" w:name="_Toc451956663"/>
      <w:bookmarkStart w:id="23" w:name="_Toc451956664"/>
      <w:bookmarkStart w:id="24" w:name="_Toc451956665"/>
      <w:bookmarkStart w:id="25" w:name="_Toc451956666"/>
      <w:bookmarkStart w:id="26" w:name="_Toc451956668"/>
      <w:bookmarkStart w:id="27" w:name="_Toc451956669"/>
      <w:bookmarkStart w:id="28" w:name="_Toc451956670"/>
      <w:bookmarkStart w:id="29" w:name="_Toc451956671"/>
      <w:bookmarkStart w:id="30" w:name="_Toc451956672"/>
      <w:bookmarkStart w:id="31" w:name="_Toc451956673"/>
      <w:bookmarkStart w:id="32" w:name="_Toc451956674"/>
      <w:bookmarkStart w:id="33" w:name="_Toc451956676"/>
      <w:bookmarkStart w:id="34" w:name="_Toc451956678"/>
      <w:bookmarkStart w:id="35" w:name="_Toc451956679"/>
      <w:bookmarkStart w:id="36" w:name="_Toc451956680"/>
      <w:bookmarkStart w:id="37" w:name="_Toc451956681"/>
      <w:bookmarkStart w:id="38" w:name="_Toc45195668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CD04B0" w:rsidRDefault="00CD04B0">
      <w:bookmarkStart w:id="39" w:name="_GoBack"/>
      <w:bookmarkEnd w:id="39"/>
    </w:p>
    <w:sectPr w:rsidR="00CD04B0" w:rsidSect="002708E0">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9E8" w:rsidRDefault="00C619E8" w:rsidP="002708E0">
      <w:r>
        <w:separator/>
      </w:r>
    </w:p>
  </w:endnote>
  <w:endnote w:type="continuationSeparator" w:id="0">
    <w:p w:rsidR="00C619E8" w:rsidRDefault="00C619E8" w:rsidP="0027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9E8" w:rsidRDefault="00C619E8" w:rsidP="002708E0">
      <w:r>
        <w:separator/>
      </w:r>
    </w:p>
  </w:footnote>
  <w:footnote w:type="continuationSeparator" w:id="0">
    <w:p w:rsidR="00C619E8" w:rsidRDefault="00C619E8" w:rsidP="002708E0">
      <w:r>
        <w:continuationSeparator/>
      </w:r>
    </w:p>
  </w:footnote>
  <w:footnote w:id="1">
    <w:p w:rsidR="002708E0" w:rsidRPr="0011239B" w:rsidRDefault="002708E0" w:rsidP="002708E0">
      <w:pPr>
        <w:pStyle w:val="Textpoznpodarou"/>
        <w:jc w:val="both"/>
        <w:rPr>
          <w:sz w:val="18"/>
          <w:szCs w:val="18"/>
        </w:rPr>
      </w:pPr>
      <w:r w:rsidRPr="0011239B">
        <w:rPr>
          <w:rStyle w:val="Znakapoznpodarou"/>
          <w:sz w:val="18"/>
          <w:szCs w:val="18"/>
        </w:rPr>
        <w:footnoteRef/>
      </w:r>
      <w:r w:rsidRPr="0011239B">
        <w:rPr>
          <w:sz w:val="18"/>
          <w:szCs w:val="18"/>
        </w:rPr>
        <w:t xml:space="preserve"> Ve vymezení </w:t>
      </w:r>
      <w:r w:rsidRPr="0011239B">
        <w:rPr>
          <w:i/>
          <w:iCs/>
          <w:sz w:val="18"/>
          <w:szCs w:val="18"/>
        </w:rPr>
        <w:t xml:space="preserve">Státní politika vůči nestátním neziskovým organizacím na léta 2015-2020 </w:t>
      </w:r>
      <w:hyperlink r:id="rId1" w:history="1">
        <w:r w:rsidRPr="0011239B">
          <w:rPr>
            <w:rStyle w:val="Hypertextovodkaz"/>
            <w:i/>
            <w:iCs/>
            <w:sz w:val="18"/>
            <w:szCs w:val="18"/>
          </w:rPr>
          <w:t>http://www.vlada.cz/assets/ppov/rnno/aktuality/4_statni_politika.pdf</w:t>
        </w:r>
      </w:hyperlink>
      <w:r w:rsidRPr="0011239B">
        <w:rPr>
          <w:sz w:val="18"/>
          <w:szCs w:val="18"/>
        </w:rPr>
        <w:t xml:space="preserve">. </w:t>
      </w:r>
    </w:p>
  </w:footnote>
  <w:footnote w:id="2">
    <w:p w:rsidR="002708E0" w:rsidRPr="0011239B" w:rsidRDefault="002708E0" w:rsidP="002708E0">
      <w:pPr>
        <w:pStyle w:val="Textpoznpodarou"/>
        <w:jc w:val="both"/>
      </w:pPr>
      <w:r w:rsidRPr="0011239B">
        <w:rPr>
          <w:rStyle w:val="Znakapoznpodarou"/>
          <w:sz w:val="18"/>
          <w:szCs w:val="18"/>
        </w:rPr>
        <w:footnoteRef/>
      </w:r>
      <w:r w:rsidRPr="0011239B">
        <w:rPr>
          <w:sz w:val="18"/>
          <w:szCs w:val="18"/>
        </w:rPr>
        <w:t xml:space="preserve"> Viz např. </w:t>
      </w:r>
      <w:hyperlink r:id="rId2" w:history="1">
        <w:r w:rsidRPr="0011239B">
          <w:rPr>
            <w:rStyle w:val="Hypertextovodkaz"/>
            <w:sz w:val="18"/>
            <w:szCs w:val="18"/>
          </w:rPr>
          <w:t>http://www.mzv.cz/jnp/cz/zahranicni_vztahy/cr_v_mezinarodnich_organizacich/index.html</w:t>
        </w:r>
      </w:hyperlink>
      <w:r w:rsidRPr="0011239B">
        <w:rPr>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C3A20"/>
    <w:multiLevelType w:val="hybridMultilevel"/>
    <w:tmpl w:val="1EAC21D0"/>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446A6A99"/>
    <w:multiLevelType w:val="multilevel"/>
    <w:tmpl w:val="4BD6CCF8"/>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nsid w:val="62C56BA2"/>
    <w:multiLevelType w:val="multilevel"/>
    <w:tmpl w:val="1CAC5DB6"/>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56"/>
        </w:tabs>
        <w:ind w:left="756" w:hanging="576"/>
      </w:pPr>
      <w:rPr>
        <w:rFonts w:hint="default"/>
        <w:color w:val="00008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EF37783"/>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8E0"/>
    <w:rsid w:val="00001AC2"/>
    <w:rsid w:val="00107FD2"/>
    <w:rsid w:val="002708E0"/>
    <w:rsid w:val="00655B5A"/>
    <w:rsid w:val="00C619E8"/>
    <w:rsid w:val="00C744F4"/>
    <w:rsid w:val="00C77FA8"/>
    <w:rsid w:val="00CD04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ln">
    <w:name w:val="Normal"/>
    <w:qFormat/>
    <w:rsid w:val="002708E0"/>
    <w:rPr>
      <w:sz w:val="24"/>
      <w:szCs w:val="24"/>
      <w:lang w:eastAsia="cs-CZ"/>
    </w:rPr>
  </w:style>
  <w:style w:type="paragraph" w:styleId="Nadpis1">
    <w:name w:val="heading 1"/>
    <w:basedOn w:val="ABCberschrift"/>
    <w:next w:val="Normln"/>
    <w:link w:val="Nadpis1Char"/>
    <w:autoRedefine/>
    <w:qFormat/>
    <w:rsid w:val="00107FD2"/>
    <w:pPr>
      <w:keepNext/>
      <w:keepLines/>
      <w:numPr>
        <w:numId w:val="19"/>
      </w:numPr>
      <w:tabs>
        <w:tab w:val="left" w:pos="5618"/>
      </w:tabs>
      <w:spacing w:before="480"/>
      <w:outlineLvl w:val="0"/>
    </w:pPr>
    <w:rPr>
      <w:rFonts w:cs="Arial"/>
      <w:b/>
      <w:bCs/>
      <w:color w:val="99CA3D"/>
      <w:sz w:val="32"/>
      <w:szCs w:val="32"/>
    </w:rPr>
  </w:style>
  <w:style w:type="paragraph" w:styleId="Nadpis2">
    <w:name w:val="heading 2"/>
    <w:basedOn w:val="ABCZwischenberschrift"/>
    <w:next w:val="Normln"/>
    <w:link w:val="Nadpis2Char"/>
    <w:qFormat/>
    <w:rsid w:val="00107FD2"/>
    <w:pPr>
      <w:keepNext/>
      <w:keepLines/>
      <w:numPr>
        <w:ilvl w:val="1"/>
        <w:numId w:val="19"/>
      </w:numPr>
      <w:spacing w:before="200"/>
      <w:outlineLvl w:val="1"/>
    </w:pPr>
    <w:rPr>
      <w:rFonts w:cs="Arial"/>
      <w:b/>
      <w:bCs/>
      <w:color w:val="3C3C3B"/>
      <w:sz w:val="26"/>
      <w:szCs w:val="26"/>
    </w:rPr>
  </w:style>
  <w:style w:type="paragraph" w:styleId="Nadpis3">
    <w:name w:val="heading 3"/>
    <w:aliases w:val="Heading 3 Char Char"/>
    <w:basedOn w:val="Normln"/>
    <w:next w:val="Normln"/>
    <w:link w:val="Nadpis3Char"/>
    <w:qFormat/>
    <w:rsid w:val="00107FD2"/>
    <w:pPr>
      <w:keepNext/>
      <w:keepLines/>
      <w:numPr>
        <w:ilvl w:val="2"/>
        <w:numId w:val="19"/>
      </w:numPr>
      <w:spacing w:before="200"/>
      <w:outlineLvl w:val="2"/>
    </w:pPr>
    <w:rPr>
      <w:rFonts w:cs="Arial"/>
      <w:bCs/>
      <w:color w:val="69B133"/>
    </w:rPr>
  </w:style>
  <w:style w:type="paragraph" w:styleId="Nadpis4">
    <w:name w:val="heading 4"/>
    <w:basedOn w:val="Normln"/>
    <w:next w:val="Normln"/>
    <w:link w:val="Nadpis4Char"/>
    <w:unhideWhenUsed/>
    <w:qFormat/>
    <w:rsid w:val="00107FD2"/>
    <w:pPr>
      <w:keepNext/>
      <w:keepLines/>
      <w:numPr>
        <w:ilvl w:val="3"/>
        <w:numId w:val="19"/>
      </w:numPr>
      <w:spacing w:before="200"/>
      <w:outlineLvl w:val="3"/>
    </w:pPr>
    <w:rPr>
      <w:rFonts w:ascii="Cambria" w:hAnsi="Cambria"/>
      <w:b/>
      <w:bCs/>
      <w:i/>
      <w:iCs/>
      <w:color w:val="4F81BD"/>
    </w:rPr>
  </w:style>
  <w:style w:type="paragraph" w:styleId="Nadpis5">
    <w:name w:val="heading 5"/>
    <w:basedOn w:val="Normln"/>
    <w:next w:val="Normln"/>
    <w:link w:val="Nadpis5Char"/>
    <w:unhideWhenUsed/>
    <w:qFormat/>
    <w:rsid w:val="00107FD2"/>
    <w:pPr>
      <w:keepNext/>
      <w:keepLines/>
      <w:numPr>
        <w:ilvl w:val="4"/>
        <w:numId w:val="19"/>
      </w:numPr>
      <w:spacing w:before="200"/>
      <w:outlineLvl w:val="4"/>
    </w:pPr>
    <w:rPr>
      <w:rFonts w:ascii="Cambria" w:hAnsi="Cambria"/>
      <w:color w:val="243F60"/>
    </w:rPr>
  </w:style>
  <w:style w:type="paragraph" w:styleId="Nadpis6">
    <w:name w:val="heading 6"/>
    <w:basedOn w:val="Normln"/>
    <w:next w:val="Normln"/>
    <w:link w:val="Nadpis6Char"/>
    <w:unhideWhenUsed/>
    <w:qFormat/>
    <w:rsid w:val="00107FD2"/>
    <w:pPr>
      <w:keepNext/>
      <w:keepLines/>
      <w:numPr>
        <w:ilvl w:val="5"/>
        <w:numId w:val="19"/>
      </w:numPr>
      <w:spacing w:before="200"/>
      <w:outlineLvl w:val="5"/>
    </w:pPr>
    <w:rPr>
      <w:rFonts w:ascii="Cambria" w:hAnsi="Cambria"/>
      <w:i/>
      <w:iCs/>
      <w:color w:val="243F60"/>
    </w:rPr>
  </w:style>
  <w:style w:type="paragraph" w:styleId="Nadpis7">
    <w:name w:val="heading 7"/>
    <w:basedOn w:val="Normln"/>
    <w:next w:val="Normln"/>
    <w:link w:val="Nadpis7Char"/>
    <w:unhideWhenUsed/>
    <w:qFormat/>
    <w:rsid w:val="00107FD2"/>
    <w:pPr>
      <w:keepNext/>
      <w:keepLines/>
      <w:numPr>
        <w:ilvl w:val="6"/>
        <w:numId w:val="19"/>
      </w:numPr>
      <w:spacing w:before="200"/>
      <w:outlineLvl w:val="6"/>
    </w:pPr>
    <w:rPr>
      <w:rFonts w:ascii="Cambria" w:hAnsi="Cambria"/>
      <w:i/>
      <w:iCs/>
      <w:color w:val="404040"/>
    </w:rPr>
  </w:style>
  <w:style w:type="paragraph" w:styleId="Nadpis8">
    <w:name w:val="heading 8"/>
    <w:basedOn w:val="Normln"/>
    <w:next w:val="Normln"/>
    <w:link w:val="Nadpis8Char"/>
    <w:unhideWhenUsed/>
    <w:qFormat/>
    <w:rsid w:val="00107FD2"/>
    <w:pPr>
      <w:keepNext/>
      <w:keepLines/>
      <w:numPr>
        <w:ilvl w:val="7"/>
        <w:numId w:val="19"/>
      </w:numPr>
      <w:spacing w:before="200"/>
      <w:outlineLvl w:val="7"/>
    </w:pPr>
    <w:rPr>
      <w:rFonts w:ascii="Cambria" w:hAnsi="Cambria"/>
      <w:color w:val="404040"/>
      <w:sz w:val="20"/>
      <w:szCs w:val="20"/>
    </w:rPr>
  </w:style>
  <w:style w:type="paragraph" w:styleId="Nadpis9">
    <w:name w:val="heading 9"/>
    <w:basedOn w:val="Normln"/>
    <w:next w:val="Normln"/>
    <w:link w:val="Nadpis9Char"/>
    <w:unhideWhenUsed/>
    <w:qFormat/>
    <w:rsid w:val="00107FD2"/>
    <w:pPr>
      <w:keepNext/>
      <w:keepLines/>
      <w:numPr>
        <w:ilvl w:val="8"/>
        <w:numId w:val="19"/>
      </w:numPr>
      <w:spacing w:before="200"/>
      <w:outlineLvl w:val="8"/>
    </w:pPr>
    <w:rPr>
      <w:rFonts w:ascii="Cambria" w:hAnsi="Cambria" w:cs="Arial"/>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7FD2"/>
    <w:rPr>
      <w:rFonts w:ascii="Arial" w:hAnsi="Arial" w:cs="Arial"/>
      <w:b/>
      <w:bCs/>
      <w:caps/>
      <w:noProof/>
      <w:color w:val="99CA3D"/>
      <w:sz w:val="32"/>
      <w:szCs w:val="32"/>
      <w:lang w:val="de-DE" w:eastAsia="de-DE"/>
    </w:rPr>
  </w:style>
  <w:style w:type="character" w:customStyle="1" w:styleId="Nadpis2Char">
    <w:name w:val="Nadpis 2 Char"/>
    <w:link w:val="Nadpis2"/>
    <w:rsid w:val="00107FD2"/>
    <w:rPr>
      <w:rFonts w:ascii="Arial" w:hAnsi="Arial" w:cs="Arial"/>
      <w:b/>
      <w:bCs/>
      <w:caps/>
      <w:noProof/>
      <w:color w:val="3C3C3B"/>
      <w:sz w:val="26"/>
      <w:szCs w:val="26"/>
      <w:lang w:val="de-DE" w:eastAsia="de-DE"/>
    </w:rPr>
  </w:style>
  <w:style w:type="character" w:customStyle="1" w:styleId="Nadpis3Char">
    <w:name w:val="Nadpis 3 Char"/>
    <w:aliases w:val="Heading 3 Char Char Char"/>
    <w:link w:val="Nadpis3"/>
    <w:rsid w:val="00107FD2"/>
    <w:rPr>
      <w:rFonts w:ascii="Arial" w:hAnsi="Arial" w:cs="Arial"/>
      <w:bCs/>
      <w:color w:val="69B133"/>
      <w:sz w:val="22"/>
      <w:szCs w:val="24"/>
      <w:lang w:val="de-DE"/>
    </w:rPr>
  </w:style>
  <w:style w:type="character" w:customStyle="1" w:styleId="Nadpis4Char">
    <w:name w:val="Nadpis 4 Char"/>
    <w:link w:val="Nadpis4"/>
    <w:rsid w:val="00107FD2"/>
    <w:rPr>
      <w:rFonts w:ascii="Cambria" w:hAnsi="Cambria"/>
      <w:b/>
      <w:bCs/>
      <w:i/>
      <w:iCs/>
      <w:color w:val="4F81BD"/>
      <w:sz w:val="22"/>
      <w:szCs w:val="24"/>
      <w:lang w:val="de-DE"/>
    </w:rPr>
  </w:style>
  <w:style w:type="character" w:customStyle="1" w:styleId="Nadpis5Char">
    <w:name w:val="Nadpis 5 Char"/>
    <w:link w:val="Nadpis5"/>
    <w:rsid w:val="00107FD2"/>
    <w:rPr>
      <w:rFonts w:ascii="Cambria" w:hAnsi="Cambria"/>
      <w:color w:val="243F60"/>
      <w:sz w:val="22"/>
      <w:szCs w:val="24"/>
      <w:lang w:val="de-DE"/>
    </w:rPr>
  </w:style>
  <w:style w:type="character" w:customStyle="1" w:styleId="Nadpis6Char">
    <w:name w:val="Nadpis 6 Char"/>
    <w:link w:val="Nadpis6"/>
    <w:rsid w:val="00107FD2"/>
    <w:rPr>
      <w:rFonts w:ascii="Cambria" w:hAnsi="Cambria"/>
      <w:i/>
      <w:iCs/>
      <w:color w:val="243F60"/>
      <w:sz w:val="22"/>
      <w:szCs w:val="24"/>
      <w:lang w:val="de-DE"/>
    </w:rPr>
  </w:style>
  <w:style w:type="character" w:customStyle="1" w:styleId="Nadpis7Char">
    <w:name w:val="Nadpis 7 Char"/>
    <w:link w:val="Nadpis7"/>
    <w:rsid w:val="00107FD2"/>
    <w:rPr>
      <w:rFonts w:ascii="Cambria" w:hAnsi="Cambria"/>
      <w:i/>
      <w:iCs/>
      <w:color w:val="404040"/>
      <w:sz w:val="22"/>
      <w:szCs w:val="24"/>
      <w:lang w:val="de-DE"/>
    </w:rPr>
  </w:style>
  <w:style w:type="character" w:customStyle="1" w:styleId="Nadpis8Char">
    <w:name w:val="Nadpis 8 Char"/>
    <w:link w:val="Nadpis8"/>
    <w:rsid w:val="00107FD2"/>
    <w:rPr>
      <w:rFonts w:ascii="Cambria" w:hAnsi="Cambria"/>
      <w:color w:val="404040"/>
      <w:lang w:val="de-DE"/>
    </w:rPr>
  </w:style>
  <w:style w:type="character" w:customStyle="1" w:styleId="Nadpis9Char">
    <w:name w:val="Nadpis 9 Char"/>
    <w:link w:val="Nadpis9"/>
    <w:rsid w:val="00107FD2"/>
    <w:rPr>
      <w:rFonts w:ascii="Cambria" w:hAnsi="Cambria" w:cs="Arial"/>
      <w:i/>
      <w:iCs/>
      <w:color w:val="404040"/>
      <w:lang w:val="de-DE"/>
    </w:rPr>
  </w:style>
  <w:style w:type="character" w:styleId="Siln">
    <w:name w:val="Strong"/>
    <w:qFormat/>
    <w:rsid w:val="00C744F4"/>
    <w:rPr>
      <w:b/>
      <w:bCs/>
    </w:rPr>
  </w:style>
  <w:style w:type="paragraph" w:customStyle="1" w:styleId="ABCberschrift">
    <w:name w:val="ABC_Überschrift"/>
    <w:basedOn w:val="Normln"/>
    <w:autoRedefine/>
    <w:qFormat/>
    <w:rsid w:val="00107FD2"/>
    <w:pPr>
      <w:widowControl w:val="0"/>
      <w:autoSpaceDE w:val="0"/>
      <w:autoSpaceDN w:val="0"/>
      <w:adjustRightInd w:val="0"/>
      <w:textAlignment w:val="center"/>
    </w:pPr>
    <w:rPr>
      <w:rFonts w:cs="ArialMT"/>
      <w:caps/>
      <w:noProof/>
      <w:color w:val="68B133"/>
      <w:sz w:val="36"/>
      <w:szCs w:val="36"/>
      <w:lang w:eastAsia="de-DE"/>
    </w:rPr>
  </w:style>
  <w:style w:type="paragraph" w:customStyle="1" w:styleId="ABCDatum">
    <w:name w:val="ABC_Datum"/>
    <w:basedOn w:val="Normln"/>
    <w:autoRedefine/>
    <w:qFormat/>
    <w:rsid w:val="00107FD2"/>
    <w:rPr>
      <w:rFonts w:cs="ArialMT"/>
      <w:caps/>
      <w:color w:val="6D6D6B"/>
      <w:sz w:val="36"/>
      <w:szCs w:val="36"/>
    </w:rPr>
  </w:style>
  <w:style w:type="paragraph" w:customStyle="1" w:styleId="ABCFlietext">
    <w:name w:val="ABC_Fließtext"/>
    <w:basedOn w:val="Normln"/>
    <w:autoRedefine/>
    <w:qFormat/>
    <w:rsid w:val="00107FD2"/>
    <w:pPr>
      <w:keepNext/>
      <w:widowControl w:val="0"/>
      <w:autoSpaceDE w:val="0"/>
      <w:autoSpaceDN w:val="0"/>
      <w:adjustRightInd w:val="0"/>
      <w:ind w:right="-1559"/>
      <w:textAlignment w:val="center"/>
    </w:pPr>
    <w:rPr>
      <w:rFonts w:cs="ArialMT"/>
      <w:color w:val="3C3D3C"/>
      <w:szCs w:val="20"/>
    </w:rPr>
  </w:style>
  <w:style w:type="paragraph" w:customStyle="1" w:styleId="ABCZwischenberschrift">
    <w:name w:val="ABC_Zwischenüberschrift"/>
    <w:basedOn w:val="ABCberschrift"/>
    <w:autoRedefine/>
    <w:qFormat/>
    <w:rsid w:val="00107FD2"/>
    <w:rPr>
      <w:color w:val="auto"/>
    </w:rPr>
  </w:style>
  <w:style w:type="paragraph" w:customStyle="1" w:styleId="ABCTitel">
    <w:name w:val="ABC_Titel"/>
    <w:basedOn w:val="ABCberschrift"/>
    <w:autoRedefine/>
    <w:qFormat/>
    <w:rsid w:val="00107FD2"/>
    <w:pPr>
      <w:jc w:val="center"/>
    </w:pPr>
    <w:rPr>
      <w:b/>
      <w:color w:val="99CA3D"/>
      <w:sz w:val="72"/>
      <w:szCs w:val="72"/>
    </w:rPr>
  </w:style>
  <w:style w:type="paragraph" w:styleId="Odstavecseseznamem">
    <w:name w:val="List Paragraph"/>
    <w:basedOn w:val="Normln"/>
    <w:uiPriority w:val="34"/>
    <w:qFormat/>
    <w:rsid w:val="00107FD2"/>
    <w:pPr>
      <w:ind w:left="720"/>
      <w:contextualSpacing/>
    </w:pPr>
  </w:style>
  <w:style w:type="character" w:styleId="Odkazjemn">
    <w:name w:val="Subtle Reference"/>
    <w:qFormat/>
    <w:rsid w:val="00107FD2"/>
    <w:rPr>
      <w:smallCaps/>
      <w:color w:val="C0504D"/>
      <w:u w:val="single"/>
    </w:rPr>
  </w:style>
  <w:style w:type="character" w:styleId="Odkazintenzivn">
    <w:name w:val="Intense Reference"/>
    <w:qFormat/>
    <w:rsid w:val="00107FD2"/>
    <w:rPr>
      <w:b/>
      <w:bCs/>
      <w:smallCaps/>
      <w:color w:val="C0504D"/>
      <w:spacing w:val="5"/>
      <w:u w:val="single"/>
    </w:rPr>
  </w:style>
  <w:style w:type="paragraph" w:styleId="Nadpisobsahu">
    <w:name w:val="TOC Heading"/>
    <w:basedOn w:val="Nadpis1"/>
    <w:next w:val="Normln"/>
    <w:uiPriority w:val="39"/>
    <w:unhideWhenUsed/>
    <w:qFormat/>
    <w:rsid w:val="00107FD2"/>
    <w:pPr>
      <w:widowControl/>
      <w:numPr>
        <w:numId w:val="0"/>
      </w:numPr>
      <w:autoSpaceDE/>
      <w:autoSpaceDN/>
      <w:adjustRightInd/>
      <w:spacing w:line="276" w:lineRule="auto"/>
      <w:textAlignment w:val="auto"/>
      <w:outlineLvl w:val="9"/>
    </w:pPr>
    <w:rPr>
      <w:rFonts w:ascii="Cambria" w:hAnsi="Cambria" w:cs="Times New Roman"/>
      <w:caps w:val="0"/>
      <w:noProof w:val="0"/>
      <w:color w:val="365F91"/>
      <w:sz w:val="28"/>
      <w:szCs w:val="28"/>
      <w:lang w:val="pl-PL" w:eastAsia="en-US"/>
    </w:rPr>
  </w:style>
  <w:style w:type="paragraph" w:styleId="Textpoznpodarou">
    <w:name w:val="footnote text"/>
    <w:basedOn w:val="Normln"/>
    <w:link w:val="TextpoznpodarouChar"/>
    <w:uiPriority w:val="99"/>
    <w:unhideWhenUsed/>
    <w:rsid w:val="002708E0"/>
    <w:rPr>
      <w:rFonts w:ascii="Arial" w:eastAsia="Arial" w:hAnsi="Arial" w:cs="Arial"/>
      <w:color w:val="000000"/>
      <w:sz w:val="20"/>
      <w:szCs w:val="20"/>
    </w:rPr>
  </w:style>
  <w:style w:type="character" w:customStyle="1" w:styleId="TextpoznpodarouChar">
    <w:name w:val="Text pozn. pod čarou Char"/>
    <w:basedOn w:val="Standardnpsmoodstavce"/>
    <w:link w:val="Textpoznpodarou"/>
    <w:uiPriority w:val="99"/>
    <w:rsid w:val="002708E0"/>
    <w:rPr>
      <w:rFonts w:ascii="Arial" w:eastAsia="Arial" w:hAnsi="Arial" w:cs="Arial"/>
      <w:color w:val="000000"/>
      <w:lang w:eastAsia="cs-CZ"/>
    </w:rPr>
  </w:style>
  <w:style w:type="character" w:styleId="Znakapoznpodarou">
    <w:name w:val="footnote reference"/>
    <w:basedOn w:val="Standardnpsmoodstavce"/>
    <w:uiPriority w:val="99"/>
    <w:unhideWhenUsed/>
    <w:rsid w:val="002708E0"/>
    <w:rPr>
      <w:vertAlign w:val="superscript"/>
    </w:rPr>
  </w:style>
  <w:style w:type="character" w:styleId="Hypertextovodkaz">
    <w:name w:val="Hyperlink"/>
    <w:basedOn w:val="Standardnpsmoodstavce"/>
    <w:uiPriority w:val="99"/>
    <w:unhideWhenUsed/>
    <w:rsid w:val="002708E0"/>
    <w:rPr>
      <w:color w:val="0000FF" w:themeColor="hyperlink"/>
      <w:u w:val="single"/>
    </w:rPr>
  </w:style>
  <w:style w:type="paragraph" w:customStyle="1" w:styleId="Odstavecseseznamem1">
    <w:name w:val="Odstavec se seznamem1"/>
    <w:aliases w:val="Conclusion de partie"/>
    <w:basedOn w:val="Normln"/>
    <w:link w:val="ListParagraphChar"/>
    <w:rsid w:val="002708E0"/>
    <w:pPr>
      <w:ind w:left="708"/>
    </w:pPr>
  </w:style>
  <w:style w:type="character" w:customStyle="1" w:styleId="ListParagraphChar">
    <w:name w:val="List Paragraph Char"/>
    <w:aliases w:val="Conclusion de partie Char"/>
    <w:link w:val="Odstavecseseznamem1"/>
    <w:locked/>
    <w:rsid w:val="002708E0"/>
    <w:rPr>
      <w:sz w:val="24"/>
      <w:szCs w:val="24"/>
      <w:lang w:eastAsia="cs-CZ"/>
    </w:rPr>
  </w:style>
  <w:style w:type="character" w:customStyle="1" w:styleId="apple-style-span">
    <w:name w:val="apple-style-span"/>
    <w:basedOn w:val="Standardnpsmoodstavce"/>
    <w:rsid w:val="002708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ln">
    <w:name w:val="Normal"/>
    <w:qFormat/>
    <w:rsid w:val="002708E0"/>
    <w:rPr>
      <w:sz w:val="24"/>
      <w:szCs w:val="24"/>
      <w:lang w:eastAsia="cs-CZ"/>
    </w:rPr>
  </w:style>
  <w:style w:type="paragraph" w:styleId="Nadpis1">
    <w:name w:val="heading 1"/>
    <w:basedOn w:val="ABCberschrift"/>
    <w:next w:val="Normln"/>
    <w:link w:val="Nadpis1Char"/>
    <w:autoRedefine/>
    <w:qFormat/>
    <w:rsid w:val="00107FD2"/>
    <w:pPr>
      <w:keepNext/>
      <w:keepLines/>
      <w:numPr>
        <w:numId w:val="19"/>
      </w:numPr>
      <w:tabs>
        <w:tab w:val="left" w:pos="5618"/>
      </w:tabs>
      <w:spacing w:before="480"/>
      <w:outlineLvl w:val="0"/>
    </w:pPr>
    <w:rPr>
      <w:rFonts w:cs="Arial"/>
      <w:b/>
      <w:bCs/>
      <w:color w:val="99CA3D"/>
      <w:sz w:val="32"/>
      <w:szCs w:val="32"/>
    </w:rPr>
  </w:style>
  <w:style w:type="paragraph" w:styleId="Nadpis2">
    <w:name w:val="heading 2"/>
    <w:basedOn w:val="ABCZwischenberschrift"/>
    <w:next w:val="Normln"/>
    <w:link w:val="Nadpis2Char"/>
    <w:qFormat/>
    <w:rsid w:val="00107FD2"/>
    <w:pPr>
      <w:keepNext/>
      <w:keepLines/>
      <w:numPr>
        <w:ilvl w:val="1"/>
        <w:numId w:val="19"/>
      </w:numPr>
      <w:spacing w:before="200"/>
      <w:outlineLvl w:val="1"/>
    </w:pPr>
    <w:rPr>
      <w:rFonts w:cs="Arial"/>
      <w:b/>
      <w:bCs/>
      <w:color w:val="3C3C3B"/>
      <w:sz w:val="26"/>
      <w:szCs w:val="26"/>
    </w:rPr>
  </w:style>
  <w:style w:type="paragraph" w:styleId="Nadpis3">
    <w:name w:val="heading 3"/>
    <w:aliases w:val="Heading 3 Char Char"/>
    <w:basedOn w:val="Normln"/>
    <w:next w:val="Normln"/>
    <w:link w:val="Nadpis3Char"/>
    <w:qFormat/>
    <w:rsid w:val="00107FD2"/>
    <w:pPr>
      <w:keepNext/>
      <w:keepLines/>
      <w:numPr>
        <w:ilvl w:val="2"/>
        <w:numId w:val="19"/>
      </w:numPr>
      <w:spacing w:before="200"/>
      <w:outlineLvl w:val="2"/>
    </w:pPr>
    <w:rPr>
      <w:rFonts w:cs="Arial"/>
      <w:bCs/>
      <w:color w:val="69B133"/>
    </w:rPr>
  </w:style>
  <w:style w:type="paragraph" w:styleId="Nadpis4">
    <w:name w:val="heading 4"/>
    <w:basedOn w:val="Normln"/>
    <w:next w:val="Normln"/>
    <w:link w:val="Nadpis4Char"/>
    <w:unhideWhenUsed/>
    <w:qFormat/>
    <w:rsid w:val="00107FD2"/>
    <w:pPr>
      <w:keepNext/>
      <w:keepLines/>
      <w:numPr>
        <w:ilvl w:val="3"/>
        <w:numId w:val="19"/>
      </w:numPr>
      <w:spacing w:before="200"/>
      <w:outlineLvl w:val="3"/>
    </w:pPr>
    <w:rPr>
      <w:rFonts w:ascii="Cambria" w:hAnsi="Cambria"/>
      <w:b/>
      <w:bCs/>
      <w:i/>
      <w:iCs/>
      <w:color w:val="4F81BD"/>
    </w:rPr>
  </w:style>
  <w:style w:type="paragraph" w:styleId="Nadpis5">
    <w:name w:val="heading 5"/>
    <w:basedOn w:val="Normln"/>
    <w:next w:val="Normln"/>
    <w:link w:val="Nadpis5Char"/>
    <w:unhideWhenUsed/>
    <w:qFormat/>
    <w:rsid w:val="00107FD2"/>
    <w:pPr>
      <w:keepNext/>
      <w:keepLines/>
      <w:numPr>
        <w:ilvl w:val="4"/>
        <w:numId w:val="19"/>
      </w:numPr>
      <w:spacing w:before="200"/>
      <w:outlineLvl w:val="4"/>
    </w:pPr>
    <w:rPr>
      <w:rFonts w:ascii="Cambria" w:hAnsi="Cambria"/>
      <w:color w:val="243F60"/>
    </w:rPr>
  </w:style>
  <w:style w:type="paragraph" w:styleId="Nadpis6">
    <w:name w:val="heading 6"/>
    <w:basedOn w:val="Normln"/>
    <w:next w:val="Normln"/>
    <w:link w:val="Nadpis6Char"/>
    <w:unhideWhenUsed/>
    <w:qFormat/>
    <w:rsid w:val="00107FD2"/>
    <w:pPr>
      <w:keepNext/>
      <w:keepLines/>
      <w:numPr>
        <w:ilvl w:val="5"/>
        <w:numId w:val="19"/>
      </w:numPr>
      <w:spacing w:before="200"/>
      <w:outlineLvl w:val="5"/>
    </w:pPr>
    <w:rPr>
      <w:rFonts w:ascii="Cambria" w:hAnsi="Cambria"/>
      <w:i/>
      <w:iCs/>
      <w:color w:val="243F60"/>
    </w:rPr>
  </w:style>
  <w:style w:type="paragraph" w:styleId="Nadpis7">
    <w:name w:val="heading 7"/>
    <w:basedOn w:val="Normln"/>
    <w:next w:val="Normln"/>
    <w:link w:val="Nadpis7Char"/>
    <w:unhideWhenUsed/>
    <w:qFormat/>
    <w:rsid w:val="00107FD2"/>
    <w:pPr>
      <w:keepNext/>
      <w:keepLines/>
      <w:numPr>
        <w:ilvl w:val="6"/>
        <w:numId w:val="19"/>
      </w:numPr>
      <w:spacing w:before="200"/>
      <w:outlineLvl w:val="6"/>
    </w:pPr>
    <w:rPr>
      <w:rFonts w:ascii="Cambria" w:hAnsi="Cambria"/>
      <w:i/>
      <w:iCs/>
      <w:color w:val="404040"/>
    </w:rPr>
  </w:style>
  <w:style w:type="paragraph" w:styleId="Nadpis8">
    <w:name w:val="heading 8"/>
    <w:basedOn w:val="Normln"/>
    <w:next w:val="Normln"/>
    <w:link w:val="Nadpis8Char"/>
    <w:unhideWhenUsed/>
    <w:qFormat/>
    <w:rsid w:val="00107FD2"/>
    <w:pPr>
      <w:keepNext/>
      <w:keepLines/>
      <w:numPr>
        <w:ilvl w:val="7"/>
        <w:numId w:val="19"/>
      </w:numPr>
      <w:spacing w:before="200"/>
      <w:outlineLvl w:val="7"/>
    </w:pPr>
    <w:rPr>
      <w:rFonts w:ascii="Cambria" w:hAnsi="Cambria"/>
      <w:color w:val="404040"/>
      <w:sz w:val="20"/>
      <w:szCs w:val="20"/>
    </w:rPr>
  </w:style>
  <w:style w:type="paragraph" w:styleId="Nadpis9">
    <w:name w:val="heading 9"/>
    <w:basedOn w:val="Normln"/>
    <w:next w:val="Normln"/>
    <w:link w:val="Nadpis9Char"/>
    <w:unhideWhenUsed/>
    <w:qFormat/>
    <w:rsid w:val="00107FD2"/>
    <w:pPr>
      <w:keepNext/>
      <w:keepLines/>
      <w:numPr>
        <w:ilvl w:val="8"/>
        <w:numId w:val="19"/>
      </w:numPr>
      <w:spacing w:before="200"/>
      <w:outlineLvl w:val="8"/>
    </w:pPr>
    <w:rPr>
      <w:rFonts w:ascii="Cambria" w:hAnsi="Cambria" w:cs="Arial"/>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7FD2"/>
    <w:rPr>
      <w:rFonts w:ascii="Arial" w:hAnsi="Arial" w:cs="Arial"/>
      <w:b/>
      <w:bCs/>
      <w:caps/>
      <w:noProof/>
      <w:color w:val="99CA3D"/>
      <w:sz w:val="32"/>
      <w:szCs w:val="32"/>
      <w:lang w:val="de-DE" w:eastAsia="de-DE"/>
    </w:rPr>
  </w:style>
  <w:style w:type="character" w:customStyle="1" w:styleId="Nadpis2Char">
    <w:name w:val="Nadpis 2 Char"/>
    <w:link w:val="Nadpis2"/>
    <w:rsid w:val="00107FD2"/>
    <w:rPr>
      <w:rFonts w:ascii="Arial" w:hAnsi="Arial" w:cs="Arial"/>
      <w:b/>
      <w:bCs/>
      <w:caps/>
      <w:noProof/>
      <w:color w:val="3C3C3B"/>
      <w:sz w:val="26"/>
      <w:szCs w:val="26"/>
      <w:lang w:val="de-DE" w:eastAsia="de-DE"/>
    </w:rPr>
  </w:style>
  <w:style w:type="character" w:customStyle="1" w:styleId="Nadpis3Char">
    <w:name w:val="Nadpis 3 Char"/>
    <w:aliases w:val="Heading 3 Char Char Char"/>
    <w:link w:val="Nadpis3"/>
    <w:rsid w:val="00107FD2"/>
    <w:rPr>
      <w:rFonts w:ascii="Arial" w:hAnsi="Arial" w:cs="Arial"/>
      <w:bCs/>
      <w:color w:val="69B133"/>
      <w:sz w:val="22"/>
      <w:szCs w:val="24"/>
      <w:lang w:val="de-DE"/>
    </w:rPr>
  </w:style>
  <w:style w:type="character" w:customStyle="1" w:styleId="Nadpis4Char">
    <w:name w:val="Nadpis 4 Char"/>
    <w:link w:val="Nadpis4"/>
    <w:rsid w:val="00107FD2"/>
    <w:rPr>
      <w:rFonts w:ascii="Cambria" w:hAnsi="Cambria"/>
      <w:b/>
      <w:bCs/>
      <w:i/>
      <w:iCs/>
      <w:color w:val="4F81BD"/>
      <w:sz w:val="22"/>
      <w:szCs w:val="24"/>
      <w:lang w:val="de-DE"/>
    </w:rPr>
  </w:style>
  <w:style w:type="character" w:customStyle="1" w:styleId="Nadpis5Char">
    <w:name w:val="Nadpis 5 Char"/>
    <w:link w:val="Nadpis5"/>
    <w:rsid w:val="00107FD2"/>
    <w:rPr>
      <w:rFonts w:ascii="Cambria" w:hAnsi="Cambria"/>
      <w:color w:val="243F60"/>
      <w:sz w:val="22"/>
      <w:szCs w:val="24"/>
      <w:lang w:val="de-DE"/>
    </w:rPr>
  </w:style>
  <w:style w:type="character" w:customStyle="1" w:styleId="Nadpis6Char">
    <w:name w:val="Nadpis 6 Char"/>
    <w:link w:val="Nadpis6"/>
    <w:rsid w:val="00107FD2"/>
    <w:rPr>
      <w:rFonts w:ascii="Cambria" w:hAnsi="Cambria"/>
      <w:i/>
      <w:iCs/>
      <w:color w:val="243F60"/>
      <w:sz w:val="22"/>
      <w:szCs w:val="24"/>
      <w:lang w:val="de-DE"/>
    </w:rPr>
  </w:style>
  <w:style w:type="character" w:customStyle="1" w:styleId="Nadpis7Char">
    <w:name w:val="Nadpis 7 Char"/>
    <w:link w:val="Nadpis7"/>
    <w:rsid w:val="00107FD2"/>
    <w:rPr>
      <w:rFonts w:ascii="Cambria" w:hAnsi="Cambria"/>
      <w:i/>
      <w:iCs/>
      <w:color w:val="404040"/>
      <w:sz w:val="22"/>
      <w:szCs w:val="24"/>
      <w:lang w:val="de-DE"/>
    </w:rPr>
  </w:style>
  <w:style w:type="character" w:customStyle="1" w:styleId="Nadpis8Char">
    <w:name w:val="Nadpis 8 Char"/>
    <w:link w:val="Nadpis8"/>
    <w:rsid w:val="00107FD2"/>
    <w:rPr>
      <w:rFonts w:ascii="Cambria" w:hAnsi="Cambria"/>
      <w:color w:val="404040"/>
      <w:lang w:val="de-DE"/>
    </w:rPr>
  </w:style>
  <w:style w:type="character" w:customStyle="1" w:styleId="Nadpis9Char">
    <w:name w:val="Nadpis 9 Char"/>
    <w:link w:val="Nadpis9"/>
    <w:rsid w:val="00107FD2"/>
    <w:rPr>
      <w:rFonts w:ascii="Cambria" w:hAnsi="Cambria" w:cs="Arial"/>
      <w:i/>
      <w:iCs/>
      <w:color w:val="404040"/>
      <w:lang w:val="de-DE"/>
    </w:rPr>
  </w:style>
  <w:style w:type="character" w:styleId="Siln">
    <w:name w:val="Strong"/>
    <w:qFormat/>
    <w:rsid w:val="00C744F4"/>
    <w:rPr>
      <w:b/>
      <w:bCs/>
    </w:rPr>
  </w:style>
  <w:style w:type="paragraph" w:customStyle="1" w:styleId="ABCberschrift">
    <w:name w:val="ABC_Überschrift"/>
    <w:basedOn w:val="Normln"/>
    <w:autoRedefine/>
    <w:qFormat/>
    <w:rsid w:val="00107FD2"/>
    <w:pPr>
      <w:widowControl w:val="0"/>
      <w:autoSpaceDE w:val="0"/>
      <w:autoSpaceDN w:val="0"/>
      <w:adjustRightInd w:val="0"/>
      <w:textAlignment w:val="center"/>
    </w:pPr>
    <w:rPr>
      <w:rFonts w:cs="ArialMT"/>
      <w:caps/>
      <w:noProof/>
      <w:color w:val="68B133"/>
      <w:sz w:val="36"/>
      <w:szCs w:val="36"/>
      <w:lang w:eastAsia="de-DE"/>
    </w:rPr>
  </w:style>
  <w:style w:type="paragraph" w:customStyle="1" w:styleId="ABCDatum">
    <w:name w:val="ABC_Datum"/>
    <w:basedOn w:val="Normln"/>
    <w:autoRedefine/>
    <w:qFormat/>
    <w:rsid w:val="00107FD2"/>
    <w:rPr>
      <w:rFonts w:cs="ArialMT"/>
      <w:caps/>
      <w:color w:val="6D6D6B"/>
      <w:sz w:val="36"/>
      <w:szCs w:val="36"/>
    </w:rPr>
  </w:style>
  <w:style w:type="paragraph" w:customStyle="1" w:styleId="ABCFlietext">
    <w:name w:val="ABC_Fließtext"/>
    <w:basedOn w:val="Normln"/>
    <w:autoRedefine/>
    <w:qFormat/>
    <w:rsid w:val="00107FD2"/>
    <w:pPr>
      <w:keepNext/>
      <w:widowControl w:val="0"/>
      <w:autoSpaceDE w:val="0"/>
      <w:autoSpaceDN w:val="0"/>
      <w:adjustRightInd w:val="0"/>
      <w:ind w:right="-1559"/>
      <w:textAlignment w:val="center"/>
    </w:pPr>
    <w:rPr>
      <w:rFonts w:cs="ArialMT"/>
      <w:color w:val="3C3D3C"/>
      <w:szCs w:val="20"/>
    </w:rPr>
  </w:style>
  <w:style w:type="paragraph" w:customStyle="1" w:styleId="ABCZwischenberschrift">
    <w:name w:val="ABC_Zwischenüberschrift"/>
    <w:basedOn w:val="ABCberschrift"/>
    <w:autoRedefine/>
    <w:qFormat/>
    <w:rsid w:val="00107FD2"/>
    <w:rPr>
      <w:color w:val="auto"/>
    </w:rPr>
  </w:style>
  <w:style w:type="paragraph" w:customStyle="1" w:styleId="ABCTitel">
    <w:name w:val="ABC_Titel"/>
    <w:basedOn w:val="ABCberschrift"/>
    <w:autoRedefine/>
    <w:qFormat/>
    <w:rsid w:val="00107FD2"/>
    <w:pPr>
      <w:jc w:val="center"/>
    </w:pPr>
    <w:rPr>
      <w:b/>
      <w:color w:val="99CA3D"/>
      <w:sz w:val="72"/>
      <w:szCs w:val="72"/>
    </w:rPr>
  </w:style>
  <w:style w:type="paragraph" w:styleId="Odstavecseseznamem">
    <w:name w:val="List Paragraph"/>
    <w:basedOn w:val="Normln"/>
    <w:uiPriority w:val="34"/>
    <w:qFormat/>
    <w:rsid w:val="00107FD2"/>
    <w:pPr>
      <w:ind w:left="720"/>
      <w:contextualSpacing/>
    </w:pPr>
  </w:style>
  <w:style w:type="character" w:styleId="Odkazjemn">
    <w:name w:val="Subtle Reference"/>
    <w:qFormat/>
    <w:rsid w:val="00107FD2"/>
    <w:rPr>
      <w:smallCaps/>
      <w:color w:val="C0504D"/>
      <w:u w:val="single"/>
    </w:rPr>
  </w:style>
  <w:style w:type="character" w:styleId="Odkazintenzivn">
    <w:name w:val="Intense Reference"/>
    <w:qFormat/>
    <w:rsid w:val="00107FD2"/>
    <w:rPr>
      <w:b/>
      <w:bCs/>
      <w:smallCaps/>
      <w:color w:val="C0504D"/>
      <w:spacing w:val="5"/>
      <w:u w:val="single"/>
    </w:rPr>
  </w:style>
  <w:style w:type="paragraph" w:styleId="Nadpisobsahu">
    <w:name w:val="TOC Heading"/>
    <w:basedOn w:val="Nadpis1"/>
    <w:next w:val="Normln"/>
    <w:uiPriority w:val="39"/>
    <w:unhideWhenUsed/>
    <w:qFormat/>
    <w:rsid w:val="00107FD2"/>
    <w:pPr>
      <w:widowControl/>
      <w:numPr>
        <w:numId w:val="0"/>
      </w:numPr>
      <w:autoSpaceDE/>
      <w:autoSpaceDN/>
      <w:adjustRightInd/>
      <w:spacing w:line="276" w:lineRule="auto"/>
      <w:textAlignment w:val="auto"/>
      <w:outlineLvl w:val="9"/>
    </w:pPr>
    <w:rPr>
      <w:rFonts w:ascii="Cambria" w:hAnsi="Cambria" w:cs="Times New Roman"/>
      <w:caps w:val="0"/>
      <w:noProof w:val="0"/>
      <w:color w:val="365F91"/>
      <w:sz w:val="28"/>
      <w:szCs w:val="28"/>
      <w:lang w:val="pl-PL" w:eastAsia="en-US"/>
    </w:rPr>
  </w:style>
  <w:style w:type="paragraph" w:styleId="Textpoznpodarou">
    <w:name w:val="footnote text"/>
    <w:basedOn w:val="Normln"/>
    <w:link w:val="TextpoznpodarouChar"/>
    <w:uiPriority w:val="99"/>
    <w:unhideWhenUsed/>
    <w:rsid w:val="002708E0"/>
    <w:rPr>
      <w:rFonts w:ascii="Arial" w:eastAsia="Arial" w:hAnsi="Arial" w:cs="Arial"/>
      <w:color w:val="000000"/>
      <w:sz w:val="20"/>
      <w:szCs w:val="20"/>
    </w:rPr>
  </w:style>
  <w:style w:type="character" w:customStyle="1" w:styleId="TextpoznpodarouChar">
    <w:name w:val="Text pozn. pod čarou Char"/>
    <w:basedOn w:val="Standardnpsmoodstavce"/>
    <w:link w:val="Textpoznpodarou"/>
    <w:uiPriority w:val="99"/>
    <w:rsid w:val="002708E0"/>
    <w:rPr>
      <w:rFonts w:ascii="Arial" w:eastAsia="Arial" w:hAnsi="Arial" w:cs="Arial"/>
      <w:color w:val="000000"/>
      <w:lang w:eastAsia="cs-CZ"/>
    </w:rPr>
  </w:style>
  <w:style w:type="character" w:styleId="Znakapoznpodarou">
    <w:name w:val="footnote reference"/>
    <w:basedOn w:val="Standardnpsmoodstavce"/>
    <w:uiPriority w:val="99"/>
    <w:unhideWhenUsed/>
    <w:rsid w:val="002708E0"/>
    <w:rPr>
      <w:vertAlign w:val="superscript"/>
    </w:rPr>
  </w:style>
  <w:style w:type="character" w:styleId="Hypertextovodkaz">
    <w:name w:val="Hyperlink"/>
    <w:basedOn w:val="Standardnpsmoodstavce"/>
    <w:uiPriority w:val="99"/>
    <w:unhideWhenUsed/>
    <w:rsid w:val="002708E0"/>
    <w:rPr>
      <w:color w:val="0000FF" w:themeColor="hyperlink"/>
      <w:u w:val="single"/>
    </w:rPr>
  </w:style>
  <w:style w:type="paragraph" w:customStyle="1" w:styleId="Odstavecseseznamem1">
    <w:name w:val="Odstavec se seznamem1"/>
    <w:aliases w:val="Conclusion de partie"/>
    <w:basedOn w:val="Normln"/>
    <w:link w:val="ListParagraphChar"/>
    <w:rsid w:val="002708E0"/>
    <w:pPr>
      <w:ind w:left="708"/>
    </w:pPr>
  </w:style>
  <w:style w:type="character" w:customStyle="1" w:styleId="ListParagraphChar">
    <w:name w:val="List Paragraph Char"/>
    <w:aliases w:val="Conclusion de partie Char"/>
    <w:link w:val="Odstavecseseznamem1"/>
    <w:locked/>
    <w:rsid w:val="002708E0"/>
    <w:rPr>
      <w:sz w:val="24"/>
      <w:szCs w:val="24"/>
      <w:lang w:eastAsia="cs-CZ"/>
    </w:rPr>
  </w:style>
  <w:style w:type="character" w:customStyle="1" w:styleId="apple-style-span">
    <w:name w:val="apple-style-span"/>
    <w:basedOn w:val="Standardnpsmoodstavce"/>
    <w:rsid w:val="00270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zv.cz/jnp/cz/zahranicni_vztahy/cr_v_mezinarodnich_organizacich/index.html" TargetMode="External"/><Relationship Id="rId1" Type="http://schemas.openxmlformats.org/officeDocument/2006/relationships/hyperlink" Target="http://www.vlada.cz/assets/ppov/rnno/aktuality/4_statni_politika.pdf"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4004</Words>
  <Characters>23630</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Martinek</dc:creator>
  <cp:lastModifiedBy>Martinek</cp:lastModifiedBy>
  <cp:revision>1</cp:revision>
  <dcterms:created xsi:type="dcterms:W3CDTF">2017-03-25T17:21:00Z</dcterms:created>
  <dcterms:modified xsi:type="dcterms:W3CDTF">2017-03-25T17:22:00Z</dcterms:modified>
</cp:coreProperties>
</file>